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 w:hAnsi="仿宋" w:eastAsia="仿宋"/>
          <w:bCs/>
          <w:color w:val="000000" w:themeColor="text1"/>
          <w:kern w:val="0"/>
          <w:sz w:val="32"/>
          <w:szCs w:val="32"/>
          <w:lang w:val="en-US" w:eastAsia="zh-CN"/>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附件</w:t>
      </w:r>
      <w:r>
        <w:rPr>
          <w:rFonts w:hint="eastAsia" w:ascii="仿宋" w:hAnsi="仿宋" w:eastAsia="仿宋"/>
          <w:bCs/>
          <w:color w:val="000000" w:themeColor="text1"/>
          <w:kern w:val="0"/>
          <w:sz w:val="32"/>
          <w:szCs w:val="32"/>
          <w:lang w:val="en-US" w:eastAsia="zh-CN"/>
          <w14:textFill>
            <w14:solidFill>
              <w14:schemeClr w14:val="tx1"/>
            </w14:solidFill>
          </w14:textFill>
        </w:rPr>
        <w:t>1</w:t>
      </w:r>
    </w:p>
    <w:p>
      <w:pPr>
        <w:snapToGrid w:val="0"/>
        <w:spacing w:line="288" w:lineRule="auto"/>
        <w:jc w:val="center"/>
        <w:rPr>
          <w:rFonts w:ascii="黑体" w:hAnsi="黑体" w:eastAsia="黑体" w:cs="黑体"/>
          <w:b/>
          <w:bCs/>
          <w:sz w:val="56"/>
          <w:szCs w:val="56"/>
        </w:rPr>
      </w:pPr>
    </w:p>
    <w:p>
      <w:pPr>
        <w:snapToGrid w:val="0"/>
        <w:spacing w:line="288" w:lineRule="auto"/>
        <w:jc w:val="center"/>
        <w:rPr>
          <w:rFonts w:ascii="黑体" w:hAnsi="黑体" w:eastAsia="黑体" w:cs="黑体"/>
          <w:b/>
          <w:bCs/>
          <w:sz w:val="56"/>
          <w:szCs w:val="56"/>
        </w:rPr>
      </w:pPr>
    </w:p>
    <w:p>
      <w:pPr>
        <w:snapToGrid w:val="0"/>
        <w:spacing w:line="288" w:lineRule="auto"/>
        <w:jc w:val="center"/>
        <w:rPr>
          <w:rFonts w:ascii="黑体" w:hAnsi="黑体" w:eastAsia="黑体" w:cs="黑体"/>
          <w:b/>
          <w:bCs/>
          <w:sz w:val="56"/>
          <w:szCs w:val="56"/>
        </w:rPr>
      </w:pPr>
      <w:r>
        <w:rPr>
          <w:rFonts w:hint="eastAsia" w:ascii="黑体" w:hAnsi="黑体" w:eastAsia="黑体" w:cs="黑体"/>
          <w:b/>
          <w:bCs/>
          <w:sz w:val="56"/>
          <w:szCs w:val="56"/>
        </w:rPr>
        <w:t>化妆品新原料界定</w:t>
      </w:r>
      <w:r>
        <w:rPr>
          <w:rFonts w:hint="eastAsia" w:ascii="黑体" w:hAnsi="黑体" w:eastAsia="黑体" w:cs="黑体"/>
          <w:b/>
          <w:bCs/>
          <w:sz w:val="56"/>
          <w:szCs w:val="56"/>
          <w:lang w:eastAsia="zh-CN"/>
        </w:rPr>
        <w:t>及</w:t>
      </w:r>
      <w:r>
        <w:rPr>
          <w:rFonts w:hint="eastAsia" w:ascii="黑体" w:hAnsi="黑体" w:eastAsia="黑体" w:cs="黑体"/>
          <w:b/>
          <w:bCs/>
          <w:sz w:val="56"/>
          <w:szCs w:val="56"/>
        </w:rPr>
        <w:t>研究</w:t>
      </w:r>
    </w:p>
    <w:p>
      <w:pPr>
        <w:snapToGrid w:val="0"/>
        <w:spacing w:line="288" w:lineRule="auto"/>
        <w:jc w:val="center"/>
        <w:rPr>
          <w:rFonts w:ascii="黑体" w:hAnsi="黑体" w:eastAsia="黑体" w:cs="黑体"/>
          <w:b/>
          <w:bCs/>
          <w:sz w:val="56"/>
          <w:szCs w:val="56"/>
        </w:rPr>
      </w:pPr>
      <w:r>
        <w:rPr>
          <w:rFonts w:hint="eastAsia" w:ascii="黑体" w:hAnsi="黑体" w:eastAsia="黑体" w:cs="黑体"/>
          <w:b/>
          <w:bCs/>
          <w:sz w:val="56"/>
          <w:szCs w:val="56"/>
        </w:rPr>
        <w:t>技术指导原则</w:t>
      </w:r>
    </w:p>
    <w:p>
      <w:pPr>
        <w:snapToGrid w:val="0"/>
        <w:spacing w:line="288" w:lineRule="auto"/>
        <w:jc w:val="center"/>
        <w:rPr>
          <w:rFonts w:ascii="黑体" w:hAnsi="黑体" w:eastAsia="黑体" w:cs="黑体"/>
          <w:b/>
          <w:bCs/>
          <w:sz w:val="56"/>
          <w:szCs w:val="56"/>
        </w:rPr>
      </w:pPr>
      <w:r>
        <w:rPr>
          <w:rFonts w:hint="eastAsia" w:ascii="黑体" w:hAnsi="黑体" w:eastAsia="黑体" w:cs="黑体"/>
          <w:b/>
          <w:bCs/>
          <w:sz w:val="56"/>
          <w:szCs w:val="56"/>
        </w:rPr>
        <w:t>（征求意见稿）</w:t>
      </w:r>
    </w:p>
    <w:p>
      <w:pPr>
        <w:snapToGrid w:val="0"/>
        <w:spacing w:line="288" w:lineRule="auto"/>
        <w:jc w:val="center"/>
        <w:rPr>
          <w:rFonts w:ascii="黑体" w:hAnsi="黑体" w:eastAsia="黑体" w:cs="黑体"/>
          <w:b/>
          <w:bCs/>
          <w:sz w:val="56"/>
          <w:szCs w:val="56"/>
        </w:rPr>
      </w:pPr>
    </w:p>
    <w:p>
      <w:pPr>
        <w:snapToGrid w:val="0"/>
        <w:spacing w:line="288" w:lineRule="auto"/>
        <w:jc w:val="center"/>
        <w:rPr>
          <w:rFonts w:ascii="黑体" w:hAnsi="黑体" w:eastAsia="黑体" w:cs="黑体"/>
          <w:b/>
          <w:bCs/>
          <w:sz w:val="56"/>
          <w:szCs w:val="56"/>
        </w:rPr>
      </w:pPr>
    </w:p>
    <w:p>
      <w:pPr>
        <w:snapToGrid w:val="0"/>
        <w:spacing w:line="288" w:lineRule="auto"/>
        <w:jc w:val="center"/>
        <w:rPr>
          <w:rFonts w:ascii="黑体" w:hAnsi="黑体" w:eastAsia="黑体" w:cs="黑体"/>
          <w:b/>
          <w:bCs/>
          <w:sz w:val="56"/>
          <w:szCs w:val="56"/>
        </w:rPr>
      </w:pPr>
    </w:p>
    <w:p>
      <w:pPr>
        <w:snapToGrid w:val="0"/>
        <w:spacing w:line="288" w:lineRule="auto"/>
        <w:jc w:val="center"/>
        <w:rPr>
          <w:rFonts w:ascii="黑体" w:hAnsi="黑体" w:eastAsia="黑体" w:cs="黑体"/>
          <w:b/>
          <w:bCs/>
          <w:sz w:val="56"/>
          <w:szCs w:val="56"/>
        </w:rPr>
      </w:pPr>
    </w:p>
    <w:p>
      <w:pPr>
        <w:snapToGrid w:val="0"/>
        <w:spacing w:line="288" w:lineRule="auto"/>
        <w:jc w:val="center"/>
        <w:rPr>
          <w:rFonts w:ascii="黑体" w:hAnsi="黑体" w:eastAsia="黑体" w:cs="黑体"/>
          <w:b/>
          <w:bCs/>
          <w:sz w:val="56"/>
          <w:szCs w:val="56"/>
        </w:rPr>
      </w:pPr>
    </w:p>
    <w:p>
      <w:pPr>
        <w:snapToGrid w:val="0"/>
        <w:spacing w:line="288" w:lineRule="auto"/>
        <w:jc w:val="center"/>
        <w:rPr>
          <w:rFonts w:ascii="黑体" w:hAnsi="黑体" w:eastAsia="黑体" w:cs="黑体"/>
          <w:b/>
          <w:bCs/>
          <w:sz w:val="56"/>
          <w:szCs w:val="56"/>
        </w:rPr>
      </w:pPr>
    </w:p>
    <w:p>
      <w:pPr>
        <w:snapToGrid w:val="0"/>
        <w:spacing w:line="360" w:lineRule="auto"/>
        <w:jc w:val="center"/>
        <w:rPr>
          <w:rFonts w:ascii="楷体" w:hAnsi="楷体" w:eastAsia="楷体" w:cs="楷体"/>
          <w:sz w:val="44"/>
          <w:szCs w:val="44"/>
        </w:rPr>
      </w:pPr>
      <w:r>
        <w:rPr>
          <w:rFonts w:hint="eastAsia" w:ascii="楷体" w:hAnsi="楷体" w:eastAsia="楷体" w:cs="楷体"/>
          <w:sz w:val="44"/>
          <w:szCs w:val="44"/>
        </w:rPr>
        <w:t>中国食品药品检定研究院</w:t>
      </w:r>
    </w:p>
    <w:p>
      <w:pPr>
        <w:snapToGrid w:val="0"/>
        <w:spacing w:line="360" w:lineRule="auto"/>
        <w:jc w:val="center"/>
        <w:rPr>
          <w:rFonts w:ascii="楷体" w:hAnsi="楷体" w:eastAsia="楷体" w:cs="楷体"/>
          <w:sz w:val="40"/>
          <w:szCs w:val="40"/>
        </w:rPr>
      </w:pPr>
      <w:r>
        <w:rPr>
          <w:rFonts w:ascii="楷体" w:hAnsi="楷体" w:eastAsia="楷体" w:cs="楷体"/>
          <w:sz w:val="40"/>
          <w:szCs w:val="40"/>
        </w:rPr>
        <w:t>202</w:t>
      </w:r>
      <w:r>
        <w:rPr>
          <w:rFonts w:hint="eastAsia" w:ascii="楷体" w:hAnsi="楷体" w:eastAsia="楷体" w:cs="楷体"/>
          <w:sz w:val="40"/>
          <w:szCs w:val="40"/>
        </w:rPr>
        <w:t>3</w:t>
      </w:r>
      <w:r>
        <w:rPr>
          <w:rFonts w:ascii="楷体" w:hAnsi="楷体" w:eastAsia="楷体" w:cs="楷体"/>
          <w:sz w:val="40"/>
          <w:szCs w:val="40"/>
        </w:rPr>
        <w:t>年</w:t>
      </w:r>
      <w:r>
        <w:rPr>
          <w:rFonts w:hint="eastAsia" w:ascii="楷体" w:hAnsi="楷体" w:eastAsia="楷体" w:cs="楷体"/>
          <w:sz w:val="40"/>
          <w:szCs w:val="40"/>
        </w:rPr>
        <w:t>1</w:t>
      </w:r>
      <w:r>
        <w:rPr>
          <w:rFonts w:hint="eastAsia" w:ascii="楷体" w:hAnsi="楷体" w:eastAsia="楷体" w:cs="楷体"/>
          <w:sz w:val="40"/>
          <w:szCs w:val="40"/>
          <w:lang w:val="en-US" w:eastAsia="zh-CN"/>
        </w:rPr>
        <w:t>2</w:t>
      </w:r>
      <w:r>
        <w:rPr>
          <w:rFonts w:ascii="楷体" w:hAnsi="楷体" w:eastAsia="楷体" w:cs="楷体"/>
          <w:sz w:val="40"/>
          <w:szCs w:val="40"/>
        </w:rPr>
        <w:t>月</w:t>
      </w:r>
    </w:p>
    <w:p>
      <w:pPr>
        <w:snapToGrid w:val="0"/>
        <w:spacing w:line="360" w:lineRule="auto"/>
        <w:jc w:val="center"/>
        <w:rPr>
          <w:rFonts w:ascii="楷体" w:hAnsi="楷体" w:eastAsia="楷体" w:cs="楷体"/>
          <w:sz w:val="40"/>
          <w:szCs w:val="40"/>
        </w:rPr>
      </w:pPr>
    </w:p>
    <w:p>
      <w:pPr>
        <w:snapToGrid w:val="0"/>
        <w:spacing w:line="360" w:lineRule="auto"/>
        <w:jc w:val="center"/>
        <w:rPr>
          <w:rFonts w:ascii="楷体" w:hAnsi="楷体" w:eastAsia="楷体" w:cs="楷体"/>
          <w:sz w:val="40"/>
          <w:szCs w:val="40"/>
        </w:rPr>
      </w:pPr>
    </w:p>
    <w:p>
      <w:pPr>
        <w:snapToGrid w:val="0"/>
        <w:spacing w:line="360" w:lineRule="auto"/>
        <w:jc w:val="center"/>
        <w:rPr>
          <w:rFonts w:ascii="楷体" w:hAnsi="楷体" w:eastAsia="楷体" w:cs="楷体"/>
          <w:sz w:val="40"/>
          <w:szCs w:val="40"/>
        </w:rPr>
      </w:pPr>
    </w:p>
    <w:p>
      <w:pPr>
        <w:jc w:val="center"/>
        <w:rPr>
          <w:rFonts w:ascii="黑体" w:hAnsi="黑体" w:eastAsia="黑体" w:cs="黑体"/>
          <w:b/>
          <w:bCs/>
          <w:sz w:val="30"/>
          <w:szCs w:val="30"/>
        </w:rPr>
      </w:pPr>
      <w:r>
        <w:rPr>
          <w:rFonts w:hint="eastAsia" w:ascii="黑体" w:hAnsi="黑体" w:eastAsia="黑体" w:cs="黑体"/>
          <w:b/>
          <w:bCs/>
          <w:sz w:val="30"/>
          <w:szCs w:val="30"/>
        </w:rPr>
        <w:t>目</w:t>
      </w:r>
      <w:r>
        <w:rPr>
          <w:rFonts w:ascii="黑体" w:hAnsi="黑体" w:eastAsia="黑体" w:cs="黑体"/>
          <w:b/>
          <w:bCs/>
          <w:sz w:val="30"/>
          <w:szCs w:val="30"/>
        </w:rPr>
        <w:t xml:space="preserve">  </w:t>
      </w:r>
      <w:r>
        <w:rPr>
          <w:rFonts w:hint="eastAsia" w:ascii="黑体" w:hAnsi="黑体" w:eastAsia="黑体" w:cs="黑体"/>
          <w:b/>
          <w:bCs/>
          <w:sz w:val="30"/>
          <w:szCs w:val="30"/>
        </w:rPr>
        <w:t>录</w:t>
      </w:r>
    </w:p>
    <w:p>
      <w:pPr>
        <w:jc w:val="center"/>
        <w:rPr>
          <w:rFonts w:ascii="黑体" w:hAnsi="黑体" w:eastAsia="黑体" w:cs="黑体"/>
          <w:b/>
          <w:bCs/>
          <w:sz w:val="30"/>
          <w:szCs w:val="30"/>
        </w:rPr>
      </w:pPr>
    </w:p>
    <w:p>
      <w:pPr>
        <w:pStyle w:val="8"/>
        <w:tabs>
          <w:tab w:val="right" w:leader="dot" w:pos="8306"/>
        </w:tabs>
        <w:rPr>
          <w:sz w:val="30"/>
          <w:szCs w:val="30"/>
        </w:rPr>
      </w:pPr>
      <w:r>
        <w:rPr>
          <w:rFonts w:ascii="黑体" w:hAnsi="黑体" w:eastAsia="黑体" w:cs="Times New Roman"/>
          <w:kern w:val="0"/>
          <w:sz w:val="24"/>
          <w:szCs w:val="24"/>
        </w:rPr>
        <w:fldChar w:fldCharType="begin"/>
      </w:r>
      <w:r>
        <w:rPr>
          <w:rFonts w:ascii="黑体" w:hAnsi="黑体" w:eastAsia="黑体"/>
          <w:sz w:val="24"/>
          <w:szCs w:val="24"/>
        </w:rPr>
        <w:instrText xml:space="preserve">TOC \o "1-4" \h \u </w:instrText>
      </w:r>
      <w:r>
        <w:rPr>
          <w:rFonts w:ascii="黑体" w:hAnsi="黑体" w:eastAsia="黑体" w:cs="Times New Roman"/>
          <w:kern w:val="0"/>
          <w:sz w:val="24"/>
          <w:szCs w:val="24"/>
        </w:rPr>
        <w:fldChar w:fldCharType="separate"/>
      </w:r>
      <w:r>
        <w:rPr>
          <w:rFonts w:ascii="黑体" w:hAnsi="黑体" w:eastAsia="黑体" w:cs="Times New Roman"/>
          <w:kern w:val="0"/>
          <w:sz w:val="30"/>
          <w:szCs w:val="30"/>
        </w:rPr>
        <w:fldChar w:fldCharType="begin"/>
      </w:r>
      <w:r>
        <w:rPr>
          <w:rFonts w:ascii="黑体" w:hAnsi="黑体" w:eastAsia="黑体" w:cs="Times New Roman"/>
          <w:kern w:val="0"/>
          <w:sz w:val="30"/>
          <w:szCs w:val="30"/>
        </w:rPr>
        <w:instrText xml:space="preserve"> HYPERLINK \l _Toc15666 </w:instrText>
      </w:r>
      <w:r>
        <w:rPr>
          <w:rFonts w:ascii="黑体" w:hAnsi="黑体" w:eastAsia="黑体" w:cs="Times New Roman"/>
          <w:kern w:val="0"/>
          <w:sz w:val="30"/>
          <w:szCs w:val="30"/>
        </w:rPr>
        <w:fldChar w:fldCharType="separate"/>
      </w:r>
      <w:r>
        <w:rPr>
          <w:rFonts w:hint="eastAsia" w:ascii="黑体" w:hAnsi="黑体" w:eastAsia="黑体" w:cs="黑体"/>
          <w:sz w:val="30"/>
          <w:szCs w:val="30"/>
        </w:rPr>
        <w:t>一、概述</w:t>
      </w:r>
      <w:r>
        <w:rPr>
          <w:sz w:val="30"/>
          <w:szCs w:val="30"/>
        </w:rPr>
        <w:tab/>
      </w:r>
      <w:r>
        <w:rPr>
          <w:sz w:val="30"/>
          <w:szCs w:val="30"/>
        </w:rPr>
        <w:fldChar w:fldCharType="begin"/>
      </w:r>
      <w:r>
        <w:rPr>
          <w:sz w:val="30"/>
          <w:szCs w:val="30"/>
        </w:rPr>
        <w:instrText xml:space="preserve"> PAGEREF _Toc15666 \h </w:instrText>
      </w:r>
      <w:r>
        <w:rPr>
          <w:sz w:val="30"/>
          <w:szCs w:val="30"/>
        </w:rPr>
        <w:fldChar w:fldCharType="separate"/>
      </w:r>
      <w:r>
        <w:rPr>
          <w:sz w:val="30"/>
          <w:szCs w:val="30"/>
        </w:rPr>
        <w:t>1</w:t>
      </w:r>
      <w:r>
        <w:rPr>
          <w:sz w:val="30"/>
          <w:szCs w:val="30"/>
        </w:rPr>
        <w:fldChar w:fldCharType="end"/>
      </w:r>
      <w:r>
        <w:rPr>
          <w:rFonts w:ascii="黑体" w:hAnsi="黑体" w:eastAsia="黑体" w:cs="Times New Roman"/>
          <w:kern w:val="0"/>
          <w:sz w:val="30"/>
          <w:szCs w:val="30"/>
        </w:rPr>
        <w:fldChar w:fldCharType="end"/>
      </w:r>
    </w:p>
    <w:p>
      <w:pPr>
        <w:pStyle w:val="8"/>
        <w:tabs>
          <w:tab w:val="right" w:leader="dot" w:pos="8306"/>
        </w:tabs>
        <w:rPr>
          <w:sz w:val="30"/>
          <w:szCs w:val="30"/>
        </w:rPr>
      </w:pPr>
      <w:r>
        <w:rPr>
          <w:rFonts w:ascii="黑体" w:hAnsi="黑体" w:eastAsia="黑体"/>
          <w:sz w:val="30"/>
          <w:szCs w:val="30"/>
        </w:rPr>
        <w:fldChar w:fldCharType="begin"/>
      </w:r>
      <w:r>
        <w:rPr>
          <w:rFonts w:ascii="黑体" w:hAnsi="黑体" w:eastAsia="黑体"/>
          <w:sz w:val="30"/>
          <w:szCs w:val="30"/>
        </w:rPr>
        <w:instrText xml:space="preserve"> HYPERLINK \l _Toc9511 </w:instrText>
      </w:r>
      <w:r>
        <w:rPr>
          <w:rFonts w:ascii="黑体" w:hAnsi="黑体" w:eastAsia="黑体"/>
          <w:sz w:val="30"/>
          <w:szCs w:val="30"/>
        </w:rPr>
        <w:fldChar w:fldCharType="separate"/>
      </w:r>
      <w:r>
        <w:rPr>
          <w:rFonts w:hint="eastAsia" w:ascii="黑体" w:hAnsi="黑体" w:eastAsia="黑体" w:cs="黑体"/>
          <w:sz w:val="30"/>
          <w:szCs w:val="30"/>
        </w:rPr>
        <w:t>二、分类</w:t>
      </w:r>
      <w:r>
        <w:rPr>
          <w:sz w:val="30"/>
          <w:szCs w:val="30"/>
        </w:rPr>
        <w:tab/>
      </w:r>
      <w:r>
        <w:rPr>
          <w:sz w:val="30"/>
          <w:szCs w:val="30"/>
        </w:rPr>
        <w:fldChar w:fldCharType="begin"/>
      </w:r>
      <w:r>
        <w:rPr>
          <w:sz w:val="30"/>
          <w:szCs w:val="30"/>
        </w:rPr>
        <w:instrText xml:space="preserve"> PAGEREF _Toc9511 \h </w:instrText>
      </w:r>
      <w:r>
        <w:rPr>
          <w:sz w:val="30"/>
          <w:szCs w:val="30"/>
        </w:rPr>
        <w:fldChar w:fldCharType="separate"/>
      </w:r>
      <w:r>
        <w:rPr>
          <w:sz w:val="30"/>
          <w:szCs w:val="30"/>
        </w:rPr>
        <w:t>1</w:t>
      </w:r>
      <w:r>
        <w:rPr>
          <w:sz w:val="30"/>
          <w:szCs w:val="30"/>
        </w:rPr>
        <w:fldChar w:fldCharType="end"/>
      </w:r>
      <w:r>
        <w:rPr>
          <w:rFonts w:ascii="黑体" w:hAnsi="黑体" w:eastAsia="黑体"/>
          <w:sz w:val="30"/>
          <w:szCs w:val="30"/>
        </w:rPr>
        <w:fldChar w:fldCharType="end"/>
      </w:r>
    </w:p>
    <w:p>
      <w:pPr>
        <w:pStyle w:val="9"/>
        <w:tabs>
          <w:tab w:val="right" w:leader="dot" w:pos="8306"/>
        </w:tabs>
        <w:rPr>
          <w:sz w:val="30"/>
          <w:szCs w:val="30"/>
        </w:rPr>
      </w:pPr>
      <w:r>
        <w:rPr>
          <w:rFonts w:ascii="黑体" w:hAnsi="黑体" w:eastAsia="黑体"/>
          <w:sz w:val="30"/>
          <w:szCs w:val="30"/>
        </w:rPr>
        <w:fldChar w:fldCharType="begin"/>
      </w:r>
      <w:r>
        <w:rPr>
          <w:rFonts w:ascii="黑体" w:hAnsi="黑体" w:eastAsia="黑体"/>
          <w:sz w:val="30"/>
          <w:szCs w:val="30"/>
        </w:rPr>
        <w:instrText xml:space="preserve"> HYPERLINK \l _Toc25078 </w:instrText>
      </w:r>
      <w:r>
        <w:rPr>
          <w:rFonts w:ascii="黑体" w:hAnsi="黑体" w:eastAsia="黑体"/>
          <w:sz w:val="30"/>
          <w:szCs w:val="30"/>
        </w:rPr>
        <w:fldChar w:fldCharType="separate"/>
      </w:r>
      <w:r>
        <w:rPr>
          <w:rFonts w:hint="eastAsia" w:ascii="仿宋" w:hAnsi="仿宋" w:eastAsia="仿宋" w:cs="仿宋"/>
          <w:sz w:val="30"/>
          <w:szCs w:val="30"/>
        </w:rPr>
        <w:t>（一）管理属性</w:t>
      </w:r>
      <w:r>
        <w:rPr>
          <w:sz w:val="30"/>
          <w:szCs w:val="30"/>
        </w:rPr>
        <w:tab/>
      </w:r>
      <w:r>
        <w:rPr>
          <w:sz w:val="30"/>
          <w:szCs w:val="30"/>
        </w:rPr>
        <w:fldChar w:fldCharType="begin"/>
      </w:r>
      <w:r>
        <w:rPr>
          <w:sz w:val="30"/>
          <w:szCs w:val="30"/>
        </w:rPr>
        <w:instrText xml:space="preserve"> PAGEREF _Toc25078 \h </w:instrText>
      </w:r>
      <w:r>
        <w:rPr>
          <w:sz w:val="30"/>
          <w:szCs w:val="30"/>
        </w:rPr>
        <w:fldChar w:fldCharType="separate"/>
      </w:r>
      <w:r>
        <w:rPr>
          <w:sz w:val="30"/>
          <w:szCs w:val="30"/>
        </w:rPr>
        <w:t>2</w:t>
      </w:r>
      <w:r>
        <w:rPr>
          <w:sz w:val="30"/>
          <w:szCs w:val="30"/>
        </w:rPr>
        <w:fldChar w:fldCharType="end"/>
      </w:r>
      <w:r>
        <w:rPr>
          <w:rFonts w:ascii="黑体" w:hAnsi="黑体" w:eastAsia="黑体"/>
          <w:sz w:val="30"/>
          <w:szCs w:val="30"/>
        </w:rPr>
        <w:fldChar w:fldCharType="end"/>
      </w:r>
    </w:p>
    <w:p>
      <w:pPr>
        <w:pStyle w:val="9"/>
        <w:tabs>
          <w:tab w:val="right" w:leader="dot" w:pos="8306"/>
        </w:tabs>
        <w:rPr>
          <w:sz w:val="30"/>
          <w:szCs w:val="30"/>
        </w:rPr>
      </w:pPr>
      <w:r>
        <w:rPr>
          <w:rFonts w:ascii="黑体" w:hAnsi="黑体" w:eastAsia="黑体"/>
          <w:sz w:val="30"/>
          <w:szCs w:val="30"/>
        </w:rPr>
        <w:fldChar w:fldCharType="begin"/>
      </w:r>
      <w:r>
        <w:rPr>
          <w:rFonts w:ascii="黑体" w:hAnsi="黑体" w:eastAsia="黑体"/>
          <w:sz w:val="30"/>
          <w:szCs w:val="30"/>
        </w:rPr>
        <w:instrText xml:space="preserve"> HYPERLINK \l _Toc5423 </w:instrText>
      </w:r>
      <w:r>
        <w:rPr>
          <w:rFonts w:ascii="黑体" w:hAnsi="黑体" w:eastAsia="黑体"/>
          <w:sz w:val="30"/>
          <w:szCs w:val="30"/>
        </w:rPr>
        <w:fldChar w:fldCharType="separate"/>
      </w:r>
      <w:r>
        <w:rPr>
          <w:rFonts w:hint="eastAsia" w:ascii="仿宋" w:hAnsi="仿宋" w:eastAsia="仿宋" w:cs="仿宋"/>
          <w:sz w:val="30"/>
          <w:szCs w:val="30"/>
        </w:rPr>
        <w:t>（二）管理类别</w:t>
      </w:r>
      <w:r>
        <w:rPr>
          <w:sz w:val="30"/>
          <w:szCs w:val="30"/>
        </w:rPr>
        <w:tab/>
      </w:r>
      <w:r>
        <w:rPr>
          <w:sz w:val="30"/>
          <w:szCs w:val="30"/>
        </w:rPr>
        <w:fldChar w:fldCharType="begin"/>
      </w:r>
      <w:r>
        <w:rPr>
          <w:sz w:val="30"/>
          <w:szCs w:val="30"/>
        </w:rPr>
        <w:instrText xml:space="preserve"> PAGEREF _Toc5423 \h </w:instrText>
      </w:r>
      <w:r>
        <w:rPr>
          <w:sz w:val="30"/>
          <w:szCs w:val="30"/>
        </w:rPr>
        <w:fldChar w:fldCharType="separate"/>
      </w:r>
      <w:r>
        <w:rPr>
          <w:sz w:val="30"/>
          <w:szCs w:val="30"/>
        </w:rPr>
        <w:t>4</w:t>
      </w:r>
      <w:r>
        <w:rPr>
          <w:sz w:val="30"/>
          <w:szCs w:val="30"/>
        </w:rPr>
        <w:fldChar w:fldCharType="end"/>
      </w:r>
      <w:r>
        <w:rPr>
          <w:rFonts w:ascii="黑体" w:hAnsi="黑体" w:eastAsia="黑体"/>
          <w:sz w:val="30"/>
          <w:szCs w:val="30"/>
        </w:rPr>
        <w:fldChar w:fldCharType="end"/>
      </w:r>
    </w:p>
    <w:p>
      <w:pPr>
        <w:pStyle w:val="9"/>
        <w:tabs>
          <w:tab w:val="right" w:leader="dot" w:pos="8306"/>
        </w:tabs>
        <w:rPr>
          <w:sz w:val="30"/>
          <w:szCs w:val="30"/>
        </w:rPr>
      </w:pPr>
      <w:r>
        <w:rPr>
          <w:rFonts w:ascii="黑体" w:hAnsi="黑体" w:eastAsia="黑体"/>
          <w:sz w:val="30"/>
          <w:szCs w:val="30"/>
        </w:rPr>
        <w:fldChar w:fldCharType="begin"/>
      </w:r>
      <w:r>
        <w:rPr>
          <w:rFonts w:ascii="黑体" w:hAnsi="黑体" w:eastAsia="黑体"/>
          <w:sz w:val="30"/>
          <w:szCs w:val="30"/>
        </w:rPr>
        <w:instrText xml:space="preserve"> HYPERLINK \l _Toc10116 </w:instrText>
      </w:r>
      <w:r>
        <w:rPr>
          <w:rFonts w:ascii="黑体" w:hAnsi="黑体" w:eastAsia="黑体"/>
          <w:sz w:val="30"/>
          <w:szCs w:val="30"/>
        </w:rPr>
        <w:fldChar w:fldCharType="separate"/>
      </w:r>
      <w:r>
        <w:rPr>
          <w:rFonts w:hint="eastAsia" w:ascii="仿宋" w:hAnsi="仿宋" w:eastAsia="仿宋" w:cs="仿宋"/>
          <w:sz w:val="30"/>
          <w:szCs w:val="30"/>
        </w:rPr>
        <w:t>（三）不属于化妆品新原料的情形</w:t>
      </w:r>
      <w:r>
        <w:rPr>
          <w:sz w:val="30"/>
          <w:szCs w:val="30"/>
        </w:rPr>
        <w:tab/>
      </w:r>
      <w:r>
        <w:rPr>
          <w:sz w:val="30"/>
          <w:szCs w:val="30"/>
        </w:rPr>
        <w:fldChar w:fldCharType="begin"/>
      </w:r>
      <w:r>
        <w:rPr>
          <w:sz w:val="30"/>
          <w:szCs w:val="30"/>
        </w:rPr>
        <w:instrText xml:space="preserve"> PAGEREF _Toc10116 \h </w:instrText>
      </w:r>
      <w:r>
        <w:rPr>
          <w:sz w:val="30"/>
          <w:szCs w:val="30"/>
        </w:rPr>
        <w:fldChar w:fldCharType="separate"/>
      </w:r>
      <w:r>
        <w:rPr>
          <w:sz w:val="30"/>
          <w:szCs w:val="30"/>
        </w:rPr>
        <w:t>5</w:t>
      </w:r>
      <w:r>
        <w:rPr>
          <w:sz w:val="30"/>
          <w:szCs w:val="30"/>
        </w:rPr>
        <w:fldChar w:fldCharType="end"/>
      </w:r>
      <w:r>
        <w:rPr>
          <w:rFonts w:ascii="黑体" w:hAnsi="黑体" w:eastAsia="黑体"/>
          <w:sz w:val="30"/>
          <w:szCs w:val="30"/>
        </w:rPr>
        <w:fldChar w:fldCharType="end"/>
      </w:r>
    </w:p>
    <w:p>
      <w:pPr>
        <w:pStyle w:val="8"/>
        <w:tabs>
          <w:tab w:val="right" w:leader="dot" w:pos="8306"/>
        </w:tabs>
        <w:rPr>
          <w:sz w:val="30"/>
          <w:szCs w:val="30"/>
        </w:rPr>
      </w:pPr>
      <w:r>
        <w:rPr>
          <w:rFonts w:ascii="黑体" w:hAnsi="黑体" w:eastAsia="黑体"/>
          <w:sz w:val="30"/>
          <w:szCs w:val="30"/>
        </w:rPr>
        <w:fldChar w:fldCharType="begin"/>
      </w:r>
      <w:r>
        <w:rPr>
          <w:rFonts w:ascii="黑体" w:hAnsi="黑体" w:eastAsia="黑体"/>
          <w:sz w:val="30"/>
          <w:szCs w:val="30"/>
        </w:rPr>
        <w:instrText xml:space="preserve"> HYPERLINK \l _Toc29112 </w:instrText>
      </w:r>
      <w:r>
        <w:rPr>
          <w:rFonts w:ascii="黑体" w:hAnsi="黑体" w:eastAsia="黑体"/>
          <w:sz w:val="30"/>
          <w:szCs w:val="30"/>
        </w:rPr>
        <w:fldChar w:fldCharType="separate"/>
      </w:r>
      <w:r>
        <w:rPr>
          <w:rFonts w:hint="eastAsia" w:ascii="黑体" w:hAnsi="黑体" w:eastAsia="黑体" w:cs="黑体"/>
          <w:sz w:val="30"/>
          <w:szCs w:val="30"/>
        </w:rPr>
        <w:t>三、通用要求</w:t>
      </w:r>
      <w:r>
        <w:rPr>
          <w:sz w:val="30"/>
          <w:szCs w:val="30"/>
        </w:rPr>
        <w:tab/>
      </w:r>
      <w:r>
        <w:rPr>
          <w:sz w:val="30"/>
          <w:szCs w:val="30"/>
        </w:rPr>
        <w:fldChar w:fldCharType="begin"/>
      </w:r>
      <w:r>
        <w:rPr>
          <w:sz w:val="30"/>
          <w:szCs w:val="30"/>
        </w:rPr>
        <w:instrText xml:space="preserve"> PAGEREF _Toc29112 \h </w:instrText>
      </w:r>
      <w:r>
        <w:rPr>
          <w:sz w:val="30"/>
          <w:szCs w:val="30"/>
        </w:rPr>
        <w:fldChar w:fldCharType="separate"/>
      </w:r>
      <w:r>
        <w:rPr>
          <w:sz w:val="30"/>
          <w:szCs w:val="30"/>
        </w:rPr>
        <w:t>6</w:t>
      </w:r>
      <w:r>
        <w:rPr>
          <w:sz w:val="30"/>
          <w:szCs w:val="30"/>
        </w:rPr>
        <w:fldChar w:fldCharType="end"/>
      </w:r>
      <w:r>
        <w:rPr>
          <w:rFonts w:ascii="黑体" w:hAnsi="黑体" w:eastAsia="黑体"/>
          <w:sz w:val="30"/>
          <w:szCs w:val="30"/>
        </w:rPr>
        <w:fldChar w:fldCharType="end"/>
      </w:r>
    </w:p>
    <w:p>
      <w:pPr>
        <w:pStyle w:val="9"/>
        <w:tabs>
          <w:tab w:val="right" w:leader="dot" w:pos="8306"/>
        </w:tabs>
        <w:rPr>
          <w:sz w:val="30"/>
          <w:szCs w:val="30"/>
        </w:rPr>
      </w:pPr>
      <w:r>
        <w:rPr>
          <w:rFonts w:ascii="黑体" w:hAnsi="黑体" w:eastAsia="黑体"/>
          <w:sz w:val="30"/>
          <w:szCs w:val="30"/>
        </w:rPr>
        <w:fldChar w:fldCharType="begin"/>
      </w:r>
      <w:r>
        <w:rPr>
          <w:rFonts w:ascii="黑体" w:hAnsi="黑体" w:eastAsia="黑体"/>
          <w:sz w:val="30"/>
          <w:szCs w:val="30"/>
        </w:rPr>
        <w:instrText xml:space="preserve"> HYPERLINK \l _Toc16376 </w:instrText>
      </w:r>
      <w:r>
        <w:rPr>
          <w:rFonts w:ascii="黑体" w:hAnsi="黑体" w:eastAsia="黑体"/>
          <w:sz w:val="30"/>
          <w:szCs w:val="30"/>
        </w:rPr>
        <w:fldChar w:fldCharType="separate"/>
      </w:r>
      <w:r>
        <w:rPr>
          <w:rFonts w:hint="eastAsia" w:ascii="仿宋" w:hAnsi="仿宋" w:eastAsia="仿宋" w:cs="仿宋"/>
          <w:sz w:val="30"/>
          <w:szCs w:val="30"/>
        </w:rPr>
        <w:t>（一）研究内容</w:t>
      </w:r>
      <w:r>
        <w:rPr>
          <w:sz w:val="30"/>
          <w:szCs w:val="30"/>
        </w:rPr>
        <w:tab/>
      </w:r>
      <w:r>
        <w:rPr>
          <w:sz w:val="30"/>
          <w:szCs w:val="30"/>
        </w:rPr>
        <w:fldChar w:fldCharType="begin"/>
      </w:r>
      <w:r>
        <w:rPr>
          <w:sz w:val="30"/>
          <w:szCs w:val="30"/>
        </w:rPr>
        <w:instrText xml:space="preserve"> PAGEREF _Toc16376 \h </w:instrText>
      </w:r>
      <w:r>
        <w:rPr>
          <w:sz w:val="30"/>
          <w:szCs w:val="30"/>
        </w:rPr>
        <w:fldChar w:fldCharType="separate"/>
      </w:r>
      <w:r>
        <w:rPr>
          <w:sz w:val="30"/>
          <w:szCs w:val="30"/>
        </w:rPr>
        <w:t>7</w:t>
      </w:r>
      <w:r>
        <w:rPr>
          <w:sz w:val="30"/>
          <w:szCs w:val="30"/>
        </w:rPr>
        <w:fldChar w:fldCharType="end"/>
      </w:r>
      <w:r>
        <w:rPr>
          <w:rFonts w:ascii="黑体" w:hAnsi="黑体" w:eastAsia="黑体"/>
          <w:sz w:val="30"/>
          <w:szCs w:val="30"/>
        </w:rPr>
        <w:fldChar w:fldCharType="end"/>
      </w:r>
    </w:p>
    <w:p>
      <w:pPr>
        <w:pStyle w:val="9"/>
        <w:tabs>
          <w:tab w:val="right" w:leader="dot" w:pos="8306"/>
        </w:tabs>
        <w:rPr>
          <w:sz w:val="30"/>
          <w:szCs w:val="30"/>
        </w:rPr>
      </w:pPr>
      <w:r>
        <w:rPr>
          <w:rFonts w:ascii="黑体" w:hAnsi="黑体" w:eastAsia="黑体"/>
          <w:sz w:val="30"/>
          <w:szCs w:val="30"/>
        </w:rPr>
        <w:fldChar w:fldCharType="begin"/>
      </w:r>
      <w:r>
        <w:rPr>
          <w:rFonts w:ascii="黑体" w:hAnsi="黑体" w:eastAsia="黑体"/>
          <w:sz w:val="30"/>
          <w:szCs w:val="30"/>
        </w:rPr>
        <w:instrText xml:space="preserve"> HYPERLINK \l _Toc32083 </w:instrText>
      </w:r>
      <w:r>
        <w:rPr>
          <w:rFonts w:ascii="黑体" w:hAnsi="黑体" w:eastAsia="黑体"/>
          <w:sz w:val="30"/>
          <w:szCs w:val="30"/>
        </w:rPr>
        <w:fldChar w:fldCharType="separate"/>
      </w:r>
      <w:r>
        <w:rPr>
          <w:rFonts w:hint="eastAsia" w:ascii="仿宋" w:hAnsi="仿宋" w:eastAsia="仿宋" w:cs="仿宋"/>
          <w:sz w:val="30"/>
          <w:szCs w:val="30"/>
        </w:rPr>
        <w:t>（二）命名要求</w:t>
      </w:r>
      <w:r>
        <w:rPr>
          <w:sz w:val="30"/>
          <w:szCs w:val="30"/>
        </w:rPr>
        <w:tab/>
      </w:r>
      <w:r>
        <w:rPr>
          <w:sz w:val="30"/>
          <w:szCs w:val="30"/>
        </w:rPr>
        <w:fldChar w:fldCharType="begin"/>
      </w:r>
      <w:r>
        <w:rPr>
          <w:sz w:val="30"/>
          <w:szCs w:val="30"/>
        </w:rPr>
        <w:instrText xml:space="preserve"> PAGEREF _Toc32083 \h </w:instrText>
      </w:r>
      <w:r>
        <w:rPr>
          <w:sz w:val="30"/>
          <w:szCs w:val="30"/>
        </w:rPr>
        <w:fldChar w:fldCharType="separate"/>
      </w:r>
      <w:r>
        <w:rPr>
          <w:sz w:val="30"/>
          <w:szCs w:val="30"/>
        </w:rPr>
        <w:t>7</w:t>
      </w:r>
      <w:r>
        <w:rPr>
          <w:sz w:val="30"/>
          <w:szCs w:val="30"/>
        </w:rPr>
        <w:fldChar w:fldCharType="end"/>
      </w:r>
      <w:r>
        <w:rPr>
          <w:rFonts w:ascii="黑体" w:hAnsi="黑体" w:eastAsia="黑体"/>
          <w:sz w:val="30"/>
          <w:szCs w:val="30"/>
        </w:rPr>
        <w:fldChar w:fldCharType="end"/>
      </w:r>
    </w:p>
    <w:p>
      <w:pPr>
        <w:pStyle w:val="9"/>
        <w:tabs>
          <w:tab w:val="right" w:leader="dot" w:pos="8306"/>
        </w:tabs>
        <w:rPr>
          <w:sz w:val="30"/>
          <w:szCs w:val="30"/>
        </w:rPr>
      </w:pPr>
      <w:r>
        <w:rPr>
          <w:rFonts w:ascii="黑体" w:hAnsi="黑体" w:eastAsia="黑体"/>
          <w:sz w:val="30"/>
          <w:szCs w:val="30"/>
        </w:rPr>
        <w:fldChar w:fldCharType="begin"/>
      </w:r>
      <w:r>
        <w:rPr>
          <w:rFonts w:ascii="黑体" w:hAnsi="黑体" w:eastAsia="黑体"/>
          <w:sz w:val="30"/>
          <w:szCs w:val="30"/>
        </w:rPr>
        <w:instrText xml:space="preserve"> HYPERLINK \l _Toc222 </w:instrText>
      </w:r>
      <w:r>
        <w:rPr>
          <w:rFonts w:ascii="黑体" w:hAnsi="黑体" w:eastAsia="黑体"/>
          <w:sz w:val="30"/>
          <w:szCs w:val="30"/>
        </w:rPr>
        <w:fldChar w:fldCharType="separate"/>
      </w:r>
      <w:r>
        <w:rPr>
          <w:rFonts w:hint="eastAsia" w:ascii="仿宋" w:hAnsi="仿宋" w:eastAsia="仿宋" w:cs="仿宋"/>
          <w:sz w:val="30"/>
          <w:szCs w:val="30"/>
        </w:rPr>
        <w:t>（三）一般要求</w:t>
      </w:r>
      <w:r>
        <w:rPr>
          <w:sz w:val="30"/>
          <w:szCs w:val="30"/>
        </w:rPr>
        <w:tab/>
      </w:r>
      <w:r>
        <w:rPr>
          <w:sz w:val="30"/>
          <w:szCs w:val="30"/>
        </w:rPr>
        <w:fldChar w:fldCharType="begin"/>
      </w:r>
      <w:r>
        <w:rPr>
          <w:sz w:val="30"/>
          <w:szCs w:val="30"/>
        </w:rPr>
        <w:instrText xml:space="preserve"> PAGEREF _Toc222 \h </w:instrText>
      </w:r>
      <w:r>
        <w:rPr>
          <w:sz w:val="30"/>
          <w:szCs w:val="30"/>
        </w:rPr>
        <w:fldChar w:fldCharType="separate"/>
      </w:r>
      <w:r>
        <w:rPr>
          <w:sz w:val="30"/>
          <w:szCs w:val="30"/>
        </w:rPr>
        <w:t>8</w:t>
      </w:r>
      <w:r>
        <w:rPr>
          <w:sz w:val="30"/>
          <w:szCs w:val="30"/>
        </w:rPr>
        <w:fldChar w:fldCharType="end"/>
      </w:r>
      <w:r>
        <w:rPr>
          <w:rFonts w:ascii="黑体" w:hAnsi="黑体" w:eastAsia="黑体"/>
          <w:sz w:val="30"/>
          <w:szCs w:val="30"/>
        </w:rPr>
        <w:fldChar w:fldCharType="end"/>
      </w:r>
    </w:p>
    <w:p>
      <w:pPr>
        <w:pStyle w:val="8"/>
        <w:tabs>
          <w:tab w:val="right" w:leader="dot" w:pos="8306"/>
        </w:tabs>
      </w:pPr>
      <w:r>
        <w:rPr>
          <w:rFonts w:ascii="黑体" w:hAnsi="黑体" w:eastAsia="黑体"/>
          <w:sz w:val="30"/>
          <w:szCs w:val="30"/>
        </w:rPr>
        <w:fldChar w:fldCharType="begin"/>
      </w:r>
      <w:r>
        <w:rPr>
          <w:rFonts w:ascii="黑体" w:hAnsi="黑体" w:eastAsia="黑体"/>
          <w:sz w:val="30"/>
          <w:szCs w:val="30"/>
        </w:rPr>
        <w:instrText xml:space="preserve"> HYPERLINK \l _Toc26523 </w:instrText>
      </w:r>
      <w:r>
        <w:rPr>
          <w:rFonts w:ascii="黑体" w:hAnsi="黑体" w:eastAsia="黑体"/>
          <w:sz w:val="30"/>
          <w:szCs w:val="30"/>
        </w:rPr>
        <w:fldChar w:fldCharType="separate"/>
      </w:r>
      <w:r>
        <w:rPr>
          <w:rFonts w:hint="eastAsia" w:ascii="黑体" w:hAnsi="黑体" w:eastAsia="黑体" w:cs="黑体"/>
          <w:sz w:val="30"/>
          <w:szCs w:val="30"/>
        </w:rPr>
        <w:t>四、名词解释</w:t>
      </w:r>
      <w:r>
        <w:rPr>
          <w:sz w:val="30"/>
          <w:szCs w:val="30"/>
        </w:rPr>
        <w:tab/>
      </w:r>
      <w:r>
        <w:rPr>
          <w:sz w:val="30"/>
          <w:szCs w:val="30"/>
        </w:rPr>
        <w:fldChar w:fldCharType="begin"/>
      </w:r>
      <w:r>
        <w:rPr>
          <w:sz w:val="30"/>
          <w:szCs w:val="30"/>
        </w:rPr>
        <w:instrText xml:space="preserve"> PAGEREF _Toc26523 \h </w:instrText>
      </w:r>
      <w:r>
        <w:rPr>
          <w:sz w:val="30"/>
          <w:szCs w:val="30"/>
        </w:rPr>
        <w:fldChar w:fldCharType="separate"/>
      </w:r>
      <w:r>
        <w:rPr>
          <w:sz w:val="30"/>
          <w:szCs w:val="30"/>
        </w:rPr>
        <w:t>15</w:t>
      </w:r>
      <w:r>
        <w:rPr>
          <w:sz w:val="30"/>
          <w:szCs w:val="30"/>
        </w:rPr>
        <w:fldChar w:fldCharType="end"/>
      </w:r>
      <w:r>
        <w:rPr>
          <w:rFonts w:ascii="黑体" w:hAnsi="黑体" w:eastAsia="黑体"/>
          <w:sz w:val="30"/>
          <w:szCs w:val="30"/>
        </w:rPr>
        <w:fldChar w:fldCharType="end"/>
      </w:r>
    </w:p>
    <w:p>
      <w:pPr>
        <w:rPr>
          <w:rFonts w:ascii="黑体" w:hAnsi="黑体" w:eastAsia="黑体"/>
          <w:sz w:val="24"/>
        </w:rPr>
      </w:pPr>
      <w:r>
        <w:rPr>
          <w:rFonts w:ascii="黑体" w:hAnsi="黑体" w:eastAsia="黑体"/>
        </w:rPr>
        <w:fldChar w:fldCharType="end"/>
      </w:r>
    </w:p>
    <w:p>
      <w:pPr>
        <w:autoSpaceDE w:val="0"/>
        <w:autoSpaceDN w:val="0"/>
        <w:adjustRightInd w:val="0"/>
        <w:spacing w:line="360" w:lineRule="auto"/>
        <w:ind w:firstLine="640" w:firstLineChars="200"/>
        <w:outlineLvl w:val="0"/>
        <w:rPr>
          <w:rFonts w:hint="eastAsia" w:ascii="黑体" w:hAnsi="黑体" w:eastAsia="黑体" w:cs="黑体"/>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bookmarkStart w:id="0" w:name="_Toc142842252"/>
      <w:bookmarkStart w:id="1" w:name="_Toc124498232"/>
      <w:bookmarkStart w:id="2" w:name="_Toc2897"/>
      <w:bookmarkStart w:id="3" w:name="_Toc151322090"/>
      <w:bookmarkStart w:id="4" w:name="_Toc14347"/>
      <w:bookmarkStart w:id="5" w:name="_Toc10603"/>
      <w:bookmarkStart w:id="6" w:name="_Toc23598"/>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14:textFill>
            <w14:solidFill>
              <w14:schemeClr w14:val="tx1"/>
            </w14:solidFill>
          </w14:textFill>
        </w:rPr>
      </w:pPr>
      <w:bookmarkStart w:id="7" w:name="_Toc15666"/>
      <w:r>
        <w:rPr>
          <w:rFonts w:hint="eastAsia" w:ascii="黑体" w:hAnsi="黑体" w:eastAsia="黑体" w:cs="黑体"/>
          <w:color w:val="000000" w:themeColor="text1"/>
          <w:sz w:val="32"/>
          <w:szCs w:val="32"/>
          <w14:textFill>
            <w14:solidFill>
              <w14:schemeClr w14:val="tx1"/>
            </w14:solidFill>
          </w14:textFill>
        </w:rPr>
        <w:t>一、概述</w:t>
      </w:r>
      <w:bookmarkEnd w:id="0"/>
      <w:bookmarkEnd w:id="1"/>
      <w:bookmarkEnd w:id="2"/>
      <w:bookmarkEnd w:id="3"/>
      <w:bookmarkEnd w:id="4"/>
      <w:bookmarkEnd w:id="5"/>
      <w:bookmarkEnd w:id="6"/>
      <w:bookmarkEnd w:id="7"/>
    </w:p>
    <w:p>
      <w:pPr>
        <w:adjustRightInd w:val="0"/>
        <w:snapToGrid w:val="0"/>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化妆品原料是指化妆品配方中使用的成分。化妆品原料是化妆品的基础，对化妆品的性质、肤感、质地和功效等起决定作用。化妆品新原料是化妆品创新的基础。</w:t>
      </w:r>
    </w:p>
    <w:p>
      <w:pPr>
        <w:adjustRightInd w:val="0"/>
        <w:snapToGrid w:val="0"/>
        <w:spacing w:line="360" w:lineRule="auto"/>
        <w:ind w:firstLine="640" w:firstLineChars="200"/>
        <w:rPr>
          <w:rFonts w:hint="default" w:ascii="仿宋" w:hAnsi="仿宋" w:eastAsia="仿宋"/>
          <w:bCs/>
          <w:color w:val="000000" w:themeColor="text1"/>
          <w:kern w:val="0"/>
          <w:sz w:val="32"/>
          <w:szCs w:val="32"/>
          <w:lang w:val="en-US" w:eastAsia="zh-CN"/>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化妆品新原料注册人、备案人在开展新原料研发时，应对其预期使用于化妆品中的使用目的、作用机理、安全性、质量控制等开展充分的调研和科学研究，以确保其属于化妆品新原料的情形分类，确保其使用目的及实际功效符合化妆品定义范畴。</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为科学、规范开展化妆品新原料研究工作，根据《化妆品监督管理条例》《化妆品注册备案管理办法》《国家药监局关于化妆品新原料鼓励创新和规范管理有关事宜的公告（2023年第143号）》）等相关法规，制定本指导原则。本指导原则是在现行法规和标准以及当前科学认知水平下制定的，随着法规和标准的更新完善，以及科学技术的发展，将适时进行调整。</w:t>
      </w:r>
    </w:p>
    <w:p>
      <w:pPr>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本指导原则适用于化妆品新原料注册人、备案人开展化妆品新原料界定</w:t>
      </w:r>
      <w:r>
        <w:rPr>
          <w:rFonts w:hint="eastAsia" w:ascii="仿宋" w:hAnsi="仿宋" w:eastAsia="仿宋"/>
          <w:bCs/>
          <w:color w:val="000000" w:themeColor="text1"/>
          <w:kern w:val="0"/>
          <w:sz w:val="32"/>
          <w:szCs w:val="32"/>
          <w:lang w:eastAsia="zh-CN"/>
          <w14:textFill>
            <w14:solidFill>
              <w14:schemeClr w14:val="tx1"/>
            </w14:solidFill>
          </w14:textFill>
        </w:rPr>
        <w:t>及相关</w:t>
      </w:r>
      <w:r>
        <w:rPr>
          <w:rFonts w:hint="eastAsia" w:ascii="仿宋" w:hAnsi="仿宋" w:eastAsia="仿宋"/>
          <w:bCs/>
          <w:color w:val="000000" w:themeColor="text1"/>
          <w:kern w:val="0"/>
          <w:sz w:val="32"/>
          <w:szCs w:val="32"/>
          <w14:textFill>
            <w14:solidFill>
              <w14:schemeClr w14:val="tx1"/>
            </w14:solidFill>
          </w14:textFill>
        </w:rPr>
        <w:t>研究。</w:t>
      </w: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14:textFill>
            <w14:solidFill>
              <w14:schemeClr w14:val="tx1"/>
            </w14:solidFill>
          </w14:textFill>
        </w:rPr>
      </w:pPr>
      <w:bookmarkStart w:id="8" w:name="_Toc1333"/>
      <w:bookmarkStart w:id="9" w:name="_Toc12188"/>
      <w:bookmarkStart w:id="10" w:name="_Toc142842254"/>
      <w:bookmarkStart w:id="11" w:name="_Toc151322091"/>
      <w:bookmarkStart w:id="12" w:name="_Toc19313"/>
      <w:bookmarkStart w:id="13" w:name="_Toc124498234"/>
      <w:bookmarkStart w:id="14" w:name="_Toc3219"/>
      <w:bookmarkStart w:id="15" w:name="_Toc9511"/>
      <w:r>
        <w:rPr>
          <w:rFonts w:hint="eastAsia" w:ascii="黑体" w:hAnsi="黑体" w:eastAsia="黑体" w:cs="黑体"/>
          <w:color w:val="000000" w:themeColor="text1"/>
          <w:sz w:val="32"/>
          <w:szCs w:val="32"/>
          <w14:textFill>
            <w14:solidFill>
              <w14:schemeClr w14:val="tx1"/>
            </w14:solidFill>
          </w14:textFill>
        </w:rPr>
        <w:t>二、分类</w:t>
      </w:r>
      <w:bookmarkEnd w:id="8"/>
      <w:bookmarkEnd w:id="9"/>
      <w:bookmarkEnd w:id="10"/>
      <w:bookmarkEnd w:id="11"/>
      <w:bookmarkEnd w:id="12"/>
      <w:bookmarkEnd w:id="13"/>
      <w:bookmarkEnd w:id="14"/>
      <w:bookmarkEnd w:id="15"/>
    </w:p>
    <w:p>
      <w:pPr>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凡在我国境内首次使用于化妆品的天然或者人工原料为化妆品新原料。</w:t>
      </w:r>
      <w:r>
        <w:rPr>
          <w:rFonts w:hint="eastAsia" w:ascii="仿宋_GB2312" w:hAnsi="仿宋_GB2312" w:eastAsia="仿宋_GB2312" w:cs="仿宋_GB2312"/>
          <w:bCs/>
          <w:color w:val="000000" w:themeColor="text1"/>
          <w:kern w:val="0"/>
          <w:sz w:val="32"/>
          <w:szCs w:val="32"/>
          <w14:textFill>
            <w14:solidFill>
              <w14:schemeClr w14:val="tx1"/>
            </w14:solidFill>
          </w14:textFill>
        </w:rPr>
        <w:t>根据原料性能和预期用途，从管理属性上化妆品新原料可以分为</w:t>
      </w:r>
      <w:r>
        <w:rPr>
          <w:rFonts w:hint="eastAsia" w:ascii="仿宋" w:hAnsi="仿宋" w:eastAsia="仿宋"/>
          <w:bCs/>
          <w:color w:val="000000" w:themeColor="text1"/>
          <w:kern w:val="0"/>
          <w:sz w:val="32"/>
          <w:szCs w:val="32"/>
          <w14:textFill>
            <w14:solidFill>
              <w14:schemeClr w14:val="tx1"/>
            </w14:solidFill>
          </w14:textFill>
        </w:rPr>
        <w:t>作用于化妆品产品的新原料、作用于人体表面的新原料、</w:t>
      </w:r>
      <w:r>
        <w:rPr>
          <w:rFonts w:hint="eastAsia" w:ascii="仿宋" w:hAnsi="仿宋" w:eastAsia="仿宋"/>
          <w:bCs/>
          <w:kern w:val="0"/>
          <w:sz w:val="32"/>
          <w:szCs w:val="32"/>
        </w:rPr>
        <w:t>作用于产品且对人体表面有影响的新原料</w:t>
      </w:r>
      <w:r>
        <w:rPr>
          <w:rFonts w:hint="eastAsia" w:ascii="仿宋" w:hAnsi="仿宋" w:eastAsia="仿宋"/>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根据新原料的研发创新程度，从管理要求上化妆品新原料可以分为</w:t>
      </w:r>
      <w:r>
        <w:rPr>
          <w:rFonts w:hint="eastAsia" w:ascii="仿宋_GB2312" w:hAnsi="仿宋_GB2312" w:eastAsia="仿宋_GB2312" w:cs="仿宋_GB2312"/>
          <w:bCs/>
          <w:kern w:val="0"/>
          <w:sz w:val="32"/>
          <w:szCs w:val="32"/>
        </w:rPr>
        <w:t>国内外首次使用的新原料、国内首次使用的新原料，以及对已使用化妆品原料进行实质性改进创新的新原料等。</w:t>
      </w:r>
    </w:p>
    <w:p>
      <w:pPr>
        <w:autoSpaceDE w:val="0"/>
        <w:autoSpaceDN w:val="0"/>
        <w:adjustRightInd w:val="0"/>
        <w:spacing w:line="360" w:lineRule="auto"/>
        <w:ind w:firstLine="643" w:firstLineChars="200"/>
        <w:outlineLvl w:val="1"/>
        <w:rPr>
          <w:rFonts w:ascii="仿宋" w:hAnsi="仿宋" w:eastAsia="仿宋" w:cs="仿宋"/>
          <w:b/>
          <w:color w:val="000000" w:themeColor="text1"/>
          <w:sz w:val="32"/>
          <w:szCs w:val="32"/>
          <w14:textFill>
            <w14:solidFill>
              <w14:schemeClr w14:val="tx1"/>
            </w14:solidFill>
          </w14:textFill>
        </w:rPr>
      </w:pPr>
      <w:bookmarkStart w:id="16" w:name="_Toc142815858"/>
      <w:bookmarkEnd w:id="16"/>
      <w:bookmarkStart w:id="17" w:name="_Toc142815989"/>
      <w:bookmarkEnd w:id="17"/>
      <w:bookmarkStart w:id="18" w:name="_Toc142815765"/>
      <w:bookmarkEnd w:id="18"/>
      <w:bookmarkStart w:id="19" w:name="_Toc142816274"/>
      <w:bookmarkEnd w:id="19"/>
      <w:bookmarkStart w:id="20" w:name="_Toc142816082"/>
      <w:bookmarkEnd w:id="20"/>
      <w:bookmarkStart w:id="21" w:name="_Toc142815360"/>
      <w:bookmarkEnd w:id="21"/>
      <w:bookmarkStart w:id="22" w:name="_Toc142815971"/>
      <w:bookmarkEnd w:id="22"/>
      <w:bookmarkStart w:id="23" w:name="_Toc142815359"/>
      <w:bookmarkEnd w:id="23"/>
      <w:bookmarkStart w:id="24" w:name="_Toc142815229"/>
      <w:bookmarkEnd w:id="24"/>
      <w:bookmarkStart w:id="25" w:name="_Toc142816026"/>
      <w:bookmarkEnd w:id="25"/>
      <w:bookmarkStart w:id="26" w:name="_Toc142815766"/>
      <w:bookmarkEnd w:id="26"/>
      <w:bookmarkStart w:id="27" w:name="_Toc142815288"/>
      <w:bookmarkEnd w:id="27"/>
      <w:bookmarkStart w:id="28" w:name="_Toc142815876"/>
      <w:bookmarkEnd w:id="28"/>
      <w:bookmarkStart w:id="29" w:name="_Toc142815990"/>
      <w:bookmarkEnd w:id="29"/>
      <w:bookmarkStart w:id="30" w:name="_Toc142816275"/>
      <w:bookmarkEnd w:id="30"/>
      <w:bookmarkStart w:id="31" w:name="_Toc142815289"/>
      <w:bookmarkEnd w:id="31"/>
      <w:bookmarkStart w:id="32" w:name="_Toc142815970"/>
      <w:bookmarkEnd w:id="32"/>
      <w:bookmarkStart w:id="33" w:name="_Toc142816083"/>
      <w:bookmarkEnd w:id="33"/>
      <w:bookmarkStart w:id="34" w:name="_Toc142816027"/>
      <w:bookmarkEnd w:id="34"/>
      <w:bookmarkStart w:id="35" w:name="_Toc142815209"/>
      <w:bookmarkEnd w:id="35"/>
      <w:bookmarkStart w:id="36" w:name="_Toc142815210"/>
      <w:bookmarkEnd w:id="36"/>
      <w:bookmarkStart w:id="37" w:name="_Toc142815857"/>
      <w:bookmarkEnd w:id="37"/>
      <w:bookmarkStart w:id="38" w:name="_Toc142815877"/>
      <w:bookmarkEnd w:id="38"/>
      <w:bookmarkStart w:id="39" w:name="_Toc142815230"/>
      <w:bookmarkEnd w:id="39"/>
      <w:bookmarkStart w:id="40" w:name="_Toc28099"/>
      <w:bookmarkStart w:id="41" w:name="_Toc9706"/>
      <w:bookmarkStart w:id="42" w:name="_Toc21265"/>
      <w:bookmarkStart w:id="43" w:name="_Toc7507"/>
      <w:bookmarkStart w:id="44" w:name="_Toc142842255"/>
      <w:bookmarkStart w:id="45" w:name="_Toc151322092"/>
      <w:bookmarkStart w:id="46" w:name="_Toc25078"/>
      <w:r>
        <w:rPr>
          <w:rFonts w:hint="eastAsia" w:ascii="仿宋" w:hAnsi="仿宋" w:eastAsia="仿宋" w:cs="仿宋"/>
          <w:b/>
          <w:color w:val="000000" w:themeColor="text1"/>
          <w:sz w:val="32"/>
          <w:szCs w:val="32"/>
          <w14:textFill>
            <w14:solidFill>
              <w14:schemeClr w14:val="tx1"/>
            </w14:solidFill>
          </w14:textFill>
        </w:rPr>
        <w:t>（一）管理属性</w:t>
      </w:r>
      <w:bookmarkEnd w:id="40"/>
      <w:bookmarkEnd w:id="41"/>
      <w:bookmarkEnd w:id="42"/>
      <w:bookmarkEnd w:id="43"/>
      <w:bookmarkEnd w:id="44"/>
      <w:bookmarkEnd w:id="45"/>
      <w:bookmarkEnd w:id="46"/>
    </w:p>
    <w:p>
      <w:pPr>
        <w:numPr>
          <w:ilvl w:val="255"/>
          <w:numId w:val="0"/>
        </w:numPr>
        <w:adjustRightInd w:val="0"/>
        <w:snapToGrid w:val="0"/>
        <w:spacing w:line="360" w:lineRule="auto"/>
        <w:ind w:firstLine="643" w:firstLineChars="200"/>
      </w:pPr>
      <w:r>
        <w:rPr>
          <w:rFonts w:hint="eastAsia" w:ascii="仿宋" w:hAnsi="仿宋" w:eastAsia="仿宋"/>
          <w:b/>
          <w:color w:val="000000" w:themeColor="text1"/>
          <w:kern w:val="0"/>
          <w:sz w:val="32"/>
          <w:szCs w:val="32"/>
          <w14:textFill>
            <w14:solidFill>
              <w14:schemeClr w14:val="tx1"/>
            </w14:solidFill>
          </w14:textFill>
        </w:rPr>
        <w:t>1.作用于化妆品产品的</w:t>
      </w:r>
      <w:r>
        <w:rPr>
          <w:rFonts w:ascii="仿宋" w:hAnsi="仿宋" w:eastAsia="仿宋"/>
          <w:b/>
          <w:color w:val="000000" w:themeColor="text1"/>
          <w:kern w:val="0"/>
          <w:sz w:val="32"/>
          <w:szCs w:val="32"/>
          <w14:textFill>
            <w14:solidFill>
              <w14:schemeClr w14:val="tx1"/>
            </w14:solidFill>
          </w14:textFill>
        </w:rPr>
        <w:t>原料</w:t>
      </w:r>
    </w:p>
    <w:p>
      <w:pPr>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作用于化妆品产品的原料是指对产品的</w:t>
      </w:r>
      <w:r>
        <w:rPr>
          <w:rFonts w:ascii="仿宋_GB2312" w:hAnsi="仿宋_GB2312" w:eastAsia="仿宋_GB2312" w:cs="仿宋_GB2312"/>
          <w:bCs/>
          <w:color w:val="000000" w:themeColor="text1"/>
          <w:kern w:val="0"/>
          <w:sz w:val="32"/>
          <w:szCs w:val="32"/>
          <w14:textFill>
            <w14:solidFill>
              <w14:schemeClr w14:val="tx1"/>
            </w14:solidFill>
          </w14:textFill>
        </w:rPr>
        <w:t>剂型</w:t>
      </w:r>
      <w:r>
        <w:rPr>
          <w:rFonts w:hint="eastAsia" w:ascii="仿宋" w:hAnsi="仿宋" w:eastAsia="仿宋"/>
          <w:bCs/>
          <w:kern w:val="0"/>
          <w:sz w:val="32"/>
          <w:szCs w:val="32"/>
        </w:rPr>
        <w:t>、稳定、颜色、气味等产生作用，以保护或提升产品性能，且</w:t>
      </w:r>
      <w:r>
        <w:rPr>
          <w:rFonts w:ascii="仿宋_GB2312" w:hAnsi="仿宋_GB2312" w:eastAsia="仿宋_GB2312" w:cs="仿宋_GB2312"/>
          <w:bCs/>
          <w:color w:val="000000" w:themeColor="text1"/>
          <w:kern w:val="0"/>
          <w:sz w:val="32"/>
          <w:szCs w:val="32"/>
          <w14:textFill>
            <w14:solidFill>
              <w14:schemeClr w14:val="tx1"/>
            </w14:solidFill>
          </w14:textFill>
        </w:rPr>
        <w:t>在一定作用范围内对人体不产生影响</w:t>
      </w:r>
      <w:r>
        <w:rPr>
          <w:rFonts w:hint="eastAsia" w:ascii="仿宋_GB2312" w:hAnsi="仿宋_GB2312" w:eastAsia="仿宋_GB2312" w:cs="仿宋_GB2312"/>
          <w:bCs/>
          <w:color w:val="000000" w:themeColor="text1"/>
          <w:kern w:val="0"/>
          <w:sz w:val="32"/>
          <w:szCs w:val="32"/>
          <w14:textFill>
            <w14:solidFill>
              <w14:schemeClr w14:val="tx1"/>
            </w14:solidFill>
          </w14:textFill>
        </w:rPr>
        <w:t>的原料，</w:t>
      </w:r>
      <w:r>
        <w:rPr>
          <w:rFonts w:hint="eastAsia" w:ascii="仿宋" w:hAnsi="仿宋" w:eastAsia="仿宋"/>
          <w:bCs/>
          <w:kern w:val="0"/>
          <w:sz w:val="32"/>
          <w:szCs w:val="32"/>
        </w:rPr>
        <w:t>主要包括基质原料和辅助原料。</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kern w:val="0"/>
          <w:sz w:val="32"/>
          <w:szCs w:val="32"/>
        </w:rPr>
        <w:t>基质原料是形成化妆品</w:t>
      </w:r>
      <w:r>
        <w:rPr>
          <w:rFonts w:ascii="仿宋_GB2312" w:hAnsi="仿宋_GB2312" w:eastAsia="仿宋_GB2312" w:cs="仿宋_GB2312"/>
          <w:bCs/>
          <w:color w:val="000000" w:themeColor="text1"/>
          <w:kern w:val="0"/>
          <w:sz w:val="32"/>
          <w:szCs w:val="32"/>
          <w14:textFill>
            <w14:solidFill>
              <w14:schemeClr w14:val="tx1"/>
            </w14:solidFill>
          </w14:textFill>
        </w:rPr>
        <w:t>剂型</w:t>
      </w:r>
      <w:r>
        <w:rPr>
          <w:rFonts w:hint="eastAsia" w:ascii="仿宋" w:hAnsi="仿宋" w:eastAsia="仿宋"/>
          <w:bCs/>
          <w:kern w:val="0"/>
          <w:sz w:val="32"/>
          <w:szCs w:val="32"/>
        </w:rPr>
        <w:t>的基本原料，</w:t>
      </w:r>
      <w:r>
        <w:rPr>
          <w:rFonts w:ascii="仿宋" w:hAnsi="仿宋" w:eastAsia="仿宋"/>
          <w:bCs/>
          <w:kern w:val="0"/>
          <w:sz w:val="32"/>
          <w:szCs w:val="32"/>
        </w:rPr>
        <w:t>如油</w:t>
      </w:r>
      <w:r>
        <w:rPr>
          <w:rFonts w:hint="eastAsia" w:ascii="仿宋" w:hAnsi="仿宋" w:eastAsia="仿宋"/>
          <w:bCs/>
          <w:kern w:val="0"/>
          <w:sz w:val="32"/>
          <w:szCs w:val="32"/>
        </w:rPr>
        <w:t>质原料</w:t>
      </w:r>
      <w:r>
        <w:rPr>
          <w:rFonts w:ascii="仿宋" w:hAnsi="仿宋" w:eastAsia="仿宋"/>
          <w:bCs/>
          <w:kern w:val="0"/>
          <w:sz w:val="32"/>
          <w:szCs w:val="32"/>
        </w:rPr>
        <w:t>、</w:t>
      </w:r>
      <w:r>
        <w:rPr>
          <w:rFonts w:hint="eastAsia" w:ascii="仿宋" w:hAnsi="仿宋" w:eastAsia="仿宋"/>
          <w:bCs/>
          <w:kern w:val="0"/>
          <w:sz w:val="32"/>
          <w:szCs w:val="32"/>
        </w:rPr>
        <w:t>粉质原料、胶质原料及溶剂类原料。新原料注册人、备案人在对新的基质原料研究时，应对原料的性能进行分析，重点关注其安全性和质量可控性。从其化学组成特征、来源</w:t>
      </w:r>
      <w:r>
        <w:rPr>
          <w:rFonts w:hint="eastAsia" w:ascii="仿宋" w:hAnsi="仿宋" w:eastAsia="仿宋"/>
          <w:bCs/>
          <w:color w:val="000000" w:themeColor="text1"/>
          <w:kern w:val="0"/>
          <w:sz w:val="32"/>
          <w:szCs w:val="32"/>
          <w14:textFill>
            <w14:solidFill>
              <w14:schemeClr w14:val="tx1"/>
            </w14:solidFill>
          </w14:textFill>
        </w:rPr>
        <w:t>属性等分析可能带入的安全风险物质，如甲醇、二噁烷、二甘醇、丙烯酰胺、农药残留、微生物、重金属等，明确其安全使用量，建立有针对性的质量控制指标。</w:t>
      </w:r>
    </w:p>
    <w:p>
      <w:pPr>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color w:val="000000" w:themeColor="text1"/>
          <w:kern w:val="0"/>
          <w:sz w:val="32"/>
          <w:szCs w:val="32"/>
          <w14:textFill>
            <w14:solidFill>
              <w14:schemeClr w14:val="tx1"/>
            </w14:solidFill>
          </w14:textFill>
        </w:rPr>
        <w:t>辅助原料</w:t>
      </w:r>
      <w:r>
        <w:rPr>
          <w:rFonts w:hint="eastAsia" w:ascii="仿宋" w:hAnsi="仿宋" w:eastAsia="仿宋"/>
          <w:bCs/>
          <w:kern w:val="0"/>
          <w:sz w:val="32"/>
          <w:szCs w:val="32"/>
        </w:rPr>
        <w:t>是对化妆品</w:t>
      </w:r>
      <w:r>
        <w:rPr>
          <w:rFonts w:ascii="仿宋_GB2312" w:hAnsi="仿宋_GB2312" w:eastAsia="仿宋_GB2312" w:cs="仿宋_GB2312"/>
          <w:bCs/>
          <w:color w:val="000000" w:themeColor="text1"/>
          <w:kern w:val="0"/>
          <w:sz w:val="32"/>
          <w:szCs w:val="32"/>
          <w14:textFill>
            <w14:solidFill>
              <w14:schemeClr w14:val="tx1"/>
            </w14:solidFill>
          </w14:textFill>
        </w:rPr>
        <w:t>剂型</w:t>
      </w:r>
      <w:r>
        <w:rPr>
          <w:rFonts w:hint="eastAsia" w:ascii="仿宋" w:hAnsi="仿宋" w:eastAsia="仿宋"/>
          <w:bCs/>
          <w:kern w:val="0"/>
          <w:sz w:val="32"/>
          <w:szCs w:val="32"/>
        </w:rPr>
        <w:t>起到稳定、修饰作用的原料，如</w:t>
      </w:r>
      <w:r>
        <w:rPr>
          <w:rFonts w:ascii="仿宋" w:hAnsi="仿宋" w:eastAsia="仿宋"/>
          <w:bCs/>
          <w:color w:val="000000" w:themeColor="text1"/>
          <w:kern w:val="0"/>
          <w:sz w:val="32"/>
          <w:szCs w:val="32"/>
          <w14:textFill>
            <w14:solidFill>
              <w14:schemeClr w14:val="tx1"/>
            </w14:solidFill>
          </w14:textFill>
        </w:rPr>
        <w:t>稳定剂、</w:t>
      </w:r>
      <w:r>
        <w:rPr>
          <w:rFonts w:hint="eastAsia" w:ascii="仿宋" w:hAnsi="仿宋" w:eastAsia="仿宋"/>
          <w:bCs/>
          <w:color w:val="000000" w:themeColor="text1"/>
          <w:kern w:val="0"/>
          <w:sz w:val="32"/>
          <w:szCs w:val="32"/>
          <w14:textFill>
            <w14:solidFill>
              <w14:schemeClr w14:val="tx1"/>
            </w14:solidFill>
          </w14:textFill>
        </w:rPr>
        <w:t>着色剂、防腐剂、抗氧化剂、螯合剂、芳香剂、pH调节剂等。</w:t>
      </w:r>
      <w:r>
        <w:rPr>
          <w:rFonts w:hint="eastAsia" w:ascii="仿宋" w:hAnsi="仿宋" w:eastAsia="仿宋"/>
          <w:bCs/>
          <w:kern w:val="0"/>
          <w:sz w:val="32"/>
          <w:szCs w:val="32"/>
        </w:rPr>
        <w:t>新原料注册人、备案人在对新辅助原料研究时，重点关注其安全性，充分研究其在化妆品中发挥作用的使用量，尤其是防腐剂和抗氧化剂，需结合化妆品配方组成、剂型、使用方法及适用人群等，研究确定满足其在化妆品中发挥防腐、防止或延缓油脂酸败作用的安全使用量，避免在正常使用条件下对人体健康带来安全风险。</w:t>
      </w:r>
    </w:p>
    <w:p>
      <w:pPr>
        <w:numPr>
          <w:ilvl w:val="255"/>
          <w:numId w:val="0"/>
        </w:num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2.作用于人体表面</w:t>
      </w:r>
      <w:r>
        <w:rPr>
          <w:rFonts w:ascii="仿宋" w:hAnsi="仿宋" w:eastAsia="仿宋"/>
          <w:b/>
          <w:kern w:val="0"/>
          <w:sz w:val="32"/>
          <w:szCs w:val="32"/>
        </w:rPr>
        <w:t>的原料</w:t>
      </w:r>
    </w:p>
    <w:p>
      <w:pPr>
        <w:numPr>
          <w:ilvl w:val="255"/>
          <w:numId w:val="0"/>
        </w:numPr>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作用于人体表面</w:t>
      </w:r>
      <w:r>
        <w:rPr>
          <w:rFonts w:ascii="仿宋" w:hAnsi="仿宋" w:eastAsia="仿宋"/>
          <w:bCs/>
          <w:kern w:val="0"/>
          <w:sz w:val="32"/>
          <w:szCs w:val="32"/>
        </w:rPr>
        <w:t>的原料</w:t>
      </w:r>
      <w:r>
        <w:rPr>
          <w:rFonts w:hint="eastAsia" w:ascii="仿宋" w:hAnsi="仿宋" w:eastAsia="仿宋"/>
          <w:bCs/>
          <w:kern w:val="0"/>
          <w:sz w:val="32"/>
          <w:szCs w:val="32"/>
        </w:rPr>
        <w:t>是指对皮肤、毛发、指甲、口唇等人体表面产生实际功效作用的原料，如保湿剂、润肤剂、抗皱剂、美白剂、防晒剂、染发剂、防脱发剂等，使化妆品达到清洁、保护、美化、修饰的目的。</w:t>
      </w:r>
    </w:p>
    <w:p>
      <w:pPr>
        <w:adjustRightInd w:val="0"/>
        <w:snapToGrid w:val="0"/>
        <w:spacing w:line="360" w:lineRule="auto"/>
        <w:ind w:firstLine="640"/>
        <w:rPr>
          <w:rFonts w:hint="eastAsia" w:eastAsia="仿宋_GB2312"/>
          <w:kern w:val="0"/>
          <w:sz w:val="32"/>
          <w:szCs w:val="32"/>
          <w:lang w:eastAsia="zh-CN"/>
        </w:rPr>
      </w:pPr>
      <w:r>
        <w:rPr>
          <w:rFonts w:hint="eastAsia" w:ascii="仿宋" w:hAnsi="仿宋" w:eastAsia="仿宋"/>
          <w:bCs/>
          <w:kern w:val="0"/>
          <w:sz w:val="32"/>
          <w:szCs w:val="32"/>
        </w:rPr>
        <w:t>新原料注册人、备案人在研发新的作用于人体表面的原料时，需阐明其使用目的与其在化妆品中发挥实际作用的相关性，重点关注其安全性、有效性和质量可控性。注册人、备案人</w:t>
      </w:r>
      <w:r>
        <w:rPr>
          <w:rFonts w:hint="eastAsia" w:ascii="仿宋" w:hAnsi="仿宋" w:eastAsia="仿宋"/>
          <w:bCs/>
          <w:kern w:val="0"/>
          <w:sz w:val="32"/>
          <w:szCs w:val="32"/>
          <w:lang w:eastAsia="zh-CN"/>
        </w:rPr>
        <w:t>应</w:t>
      </w:r>
      <w:r>
        <w:rPr>
          <w:rFonts w:hint="eastAsia" w:ascii="仿宋" w:hAnsi="仿宋" w:eastAsia="仿宋"/>
          <w:bCs/>
          <w:kern w:val="0"/>
          <w:sz w:val="32"/>
          <w:szCs w:val="32"/>
        </w:rPr>
        <w:t>研究清楚其来源属性或者化学组成和结构，明确其使用目的</w:t>
      </w:r>
      <w:r>
        <w:rPr>
          <w:rFonts w:hint="eastAsia" w:ascii="仿宋" w:hAnsi="仿宋" w:eastAsia="仿宋"/>
          <w:bCs/>
          <w:kern w:val="0"/>
          <w:sz w:val="32"/>
          <w:szCs w:val="32"/>
          <w:lang w:eastAsia="zh-CN"/>
        </w:rPr>
        <w:t>和</w:t>
      </w:r>
      <w:r>
        <w:rPr>
          <w:rFonts w:hint="eastAsia" w:ascii="仿宋" w:hAnsi="仿宋" w:eastAsia="仿宋"/>
          <w:bCs/>
          <w:kern w:val="0"/>
          <w:sz w:val="32"/>
          <w:szCs w:val="32"/>
        </w:rPr>
        <w:t>作用机理，开展功效评价试验研究，</w:t>
      </w:r>
      <w:r>
        <w:rPr>
          <w:rFonts w:hint="eastAsia" w:ascii="仿宋_GB2312" w:hAnsi="仿宋_GB2312" w:eastAsia="仿宋_GB2312" w:cs="仿宋_GB2312"/>
          <w:bCs/>
          <w:kern w:val="0"/>
          <w:sz w:val="32"/>
          <w:szCs w:val="32"/>
        </w:rPr>
        <w:t>逐一研究确定其各个使用目的的起效量（着色剂除外），明确其在该使用目的和适用范围下对人体所用剂量的安全性和有效性。</w:t>
      </w:r>
      <w:r>
        <w:rPr>
          <w:rFonts w:hint="eastAsia" w:eastAsia="仿宋_GB2312"/>
          <w:kern w:val="0"/>
          <w:sz w:val="32"/>
          <w:szCs w:val="32"/>
          <w:lang w:eastAsia="zh-CN"/>
        </w:rPr>
        <w:t>新原料的功效评价方法和结果应能充分证明其在预期使用量下对人体具有与其预期使用目的相一致的实际功效。</w:t>
      </w:r>
    </w:p>
    <w:p>
      <w:pPr>
        <w:numPr>
          <w:ilvl w:val="255"/>
          <w:numId w:val="0"/>
        </w:numPr>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3.作用于产品且对人体表面有影响的原料</w:t>
      </w:r>
    </w:p>
    <w:p>
      <w:pPr>
        <w:numPr>
          <w:ilvl w:val="255"/>
          <w:numId w:val="0"/>
        </w:numPr>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有些原料在作用于化妆品产品的同时，也会对人体表面产生影响。</w:t>
      </w:r>
    </w:p>
    <w:p>
      <w:pPr>
        <w:numPr>
          <w:ilvl w:val="255"/>
          <w:numId w:val="0"/>
        </w:numPr>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部分基质原料</w:t>
      </w:r>
      <w:r>
        <w:rPr>
          <w:rFonts w:ascii="仿宋" w:hAnsi="仿宋" w:eastAsia="仿宋"/>
          <w:bCs/>
          <w:kern w:val="0"/>
          <w:sz w:val="32"/>
          <w:szCs w:val="32"/>
        </w:rPr>
        <w:t>除了</w:t>
      </w:r>
      <w:r>
        <w:rPr>
          <w:rFonts w:hint="eastAsia" w:ascii="仿宋" w:hAnsi="仿宋" w:eastAsia="仿宋"/>
          <w:bCs/>
          <w:kern w:val="0"/>
          <w:sz w:val="32"/>
          <w:szCs w:val="32"/>
        </w:rPr>
        <w:t>对化妆品</w:t>
      </w:r>
      <w:r>
        <w:rPr>
          <w:rFonts w:ascii="仿宋" w:hAnsi="仿宋" w:eastAsia="仿宋"/>
          <w:bCs/>
          <w:kern w:val="0"/>
          <w:sz w:val="32"/>
          <w:szCs w:val="32"/>
        </w:rPr>
        <w:t>起</w:t>
      </w:r>
      <w:r>
        <w:rPr>
          <w:rFonts w:hint="eastAsia" w:ascii="仿宋" w:hAnsi="仿宋" w:eastAsia="仿宋"/>
          <w:bCs/>
          <w:kern w:val="0"/>
          <w:sz w:val="32"/>
          <w:szCs w:val="32"/>
        </w:rPr>
        <w:t>赋型作用</w:t>
      </w:r>
      <w:r>
        <w:rPr>
          <w:rFonts w:ascii="仿宋" w:hAnsi="仿宋" w:eastAsia="仿宋"/>
          <w:bCs/>
          <w:kern w:val="0"/>
          <w:sz w:val="32"/>
          <w:szCs w:val="32"/>
        </w:rPr>
        <w:t>外，</w:t>
      </w:r>
      <w:r>
        <w:rPr>
          <w:rFonts w:hint="eastAsia" w:ascii="仿宋" w:hAnsi="仿宋" w:eastAsia="仿宋"/>
          <w:bCs/>
          <w:kern w:val="0"/>
          <w:sz w:val="32"/>
          <w:szCs w:val="32"/>
        </w:rPr>
        <w:t>也会</w:t>
      </w:r>
      <w:r>
        <w:rPr>
          <w:rFonts w:ascii="仿宋" w:hAnsi="仿宋" w:eastAsia="仿宋"/>
          <w:bCs/>
          <w:kern w:val="0"/>
          <w:sz w:val="32"/>
          <w:szCs w:val="32"/>
        </w:rPr>
        <w:t>对</w:t>
      </w:r>
      <w:r>
        <w:rPr>
          <w:rFonts w:hint="eastAsia" w:ascii="仿宋" w:hAnsi="仿宋" w:eastAsia="仿宋"/>
          <w:bCs/>
          <w:kern w:val="0"/>
          <w:sz w:val="32"/>
          <w:szCs w:val="32"/>
        </w:rPr>
        <w:t>人体产生重要作用，如</w:t>
      </w:r>
      <w:r>
        <w:rPr>
          <w:rFonts w:ascii="仿宋" w:hAnsi="仿宋" w:eastAsia="仿宋"/>
          <w:bCs/>
          <w:kern w:val="0"/>
          <w:sz w:val="32"/>
          <w:szCs w:val="32"/>
        </w:rPr>
        <w:t>滋润软化皮肤、抑制水分蒸发、保持皮肤柔嫩、防止外界不良刺激</w:t>
      </w:r>
      <w:r>
        <w:rPr>
          <w:rFonts w:hint="eastAsia" w:ascii="仿宋" w:hAnsi="仿宋" w:eastAsia="仿宋"/>
          <w:bCs/>
          <w:kern w:val="0"/>
          <w:sz w:val="32"/>
          <w:szCs w:val="32"/>
        </w:rPr>
        <w:t>等</w:t>
      </w:r>
      <w:r>
        <w:rPr>
          <w:rFonts w:ascii="仿宋" w:hAnsi="仿宋" w:eastAsia="仿宋"/>
          <w:bCs/>
          <w:kern w:val="0"/>
          <w:sz w:val="32"/>
          <w:szCs w:val="32"/>
        </w:rPr>
        <w:t>。</w:t>
      </w:r>
      <w:r>
        <w:rPr>
          <w:rFonts w:hint="eastAsia" w:ascii="仿宋" w:hAnsi="仿宋" w:eastAsia="仿宋"/>
          <w:bCs/>
          <w:kern w:val="0"/>
          <w:sz w:val="32"/>
          <w:szCs w:val="32"/>
        </w:rPr>
        <w:t>比如</w:t>
      </w:r>
      <w:r>
        <w:rPr>
          <w:rFonts w:ascii="仿宋" w:hAnsi="仿宋" w:eastAsia="仿宋"/>
          <w:bCs/>
          <w:kern w:val="0"/>
          <w:sz w:val="32"/>
          <w:szCs w:val="32"/>
        </w:rPr>
        <w:t>蜡类原料，在唇膏</w:t>
      </w:r>
      <w:r>
        <w:rPr>
          <w:rFonts w:hint="eastAsia" w:ascii="仿宋" w:hAnsi="仿宋" w:eastAsia="仿宋"/>
          <w:bCs/>
          <w:kern w:val="0"/>
          <w:sz w:val="32"/>
          <w:szCs w:val="32"/>
        </w:rPr>
        <w:t>配方</w:t>
      </w:r>
      <w:r>
        <w:rPr>
          <w:rFonts w:ascii="仿宋" w:hAnsi="仿宋" w:eastAsia="仿宋"/>
          <w:bCs/>
          <w:kern w:val="0"/>
          <w:sz w:val="32"/>
          <w:szCs w:val="32"/>
        </w:rPr>
        <w:t>中，它是必须使用的在室温下</w:t>
      </w:r>
      <w:r>
        <w:rPr>
          <w:rFonts w:hint="eastAsia" w:ascii="仿宋" w:hAnsi="仿宋" w:eastAsia="仿宋"/>
          <w:bCs/>
          <w:kern w:val="0"/>
          <w:sz w:val="32"/>
          <w:szCs w:val="32"/>
        </w:rPr>
        <w:t>形成</w:t>
      </w:r>
      <w:r>
        <w:rPr>
          <w:rFonts w:ascii="仿宋" w:hAnsi="仿宋" w:eastAsia="仿宋"/>
          <w:bCs/>
          <w:kern w:val="0"/>
          <w:sz w:val="32"/>
          <w:szCs w:val="32"/>
        </w:rPr>
        <w:t>锭状的</w:t>
      </w:r>
      <w:r>
        <w:rPr>
          <w:rFonts w:hint="eastAsia" w:ascii="仿宋" w:hAnsi="仿宋" w:eastAsia="仿宋"/>
          <w:bCs/>
          <w:kern w:val="0"/>
          <w:sz w:val="32"/>
          <w:szCs w:val="32"/>
        </w:rPr>
        <w:t>主体原料，</w:t>
      </w:r>
      <w:r>
        <w:rPr>
          <w:rFonts w:ascii="仿宋" w:hAnsi="仿宋" w:eastAsia="仿宋"/>
          <w:bCs/>
          <w:kern w:val="0"/>
          <w:sz w:val="32"/>
          <w:szCs w:val="32"/>
        </w:rPr>
        <w:t>同时在使用时它也可以对</w:t>
      </w:r>
      <w:r>
        <w:rPr>
          <w:rFonts w:hint="eastAsia" w:ascii="仿宋" w:hAnsi="仿宋" w:eastAsia="仿宋"/>
          <w:bCs/>
          <w:kern w:val="0"/>
          <w:sz w:val="32"/>
          <w:szCs w:val="32"/>
        </w:rPr>
        <w:t>唇部</w:t>
      </w:r>
      <w:r>
        <w:rPr>
          <w:rFonts w:ascii="仿宋" w:hAnsi="仿宋" w:eastAsia="仿宋"/>
          <w:bCs/>
          <w:kern w:val="0"/>
          <w:sz w:val="32"/>
          <w:szCs w:val="32"/>
        </w:rPr>
        <w:t>形成保护</w:t>
      </w:r>
      <w:r>
        <w:rPr>
          <w:rFonts w:hint="eastAsia" w:ascii="仿宋" w:hAnsi="仿宋" w:eastAsia="仿宋"/>
          <w:bCs/>
          <w:kern w:val="0"/>
          <w:sz w:val="32"/>
          <w:szCs w:val="32"/>
        </w:rPr>
        <w:t>膜，</w:t>
      </w:r>
      <w:r>
        <w:rPr>
          <w:rFonts w:ascii="仿宋" w:hAnsi="仿宋" w:eastAsia="仿宋"/>
          <w:bCs/>
          <w:kern w:val="0"/>
          <w:sz w:val="32"/>
          <w:szCs w:val="32"/>
        </w:rPr>
        <w:t>起到润肤</w:t>
      </w:r>
      <w:r>
        <w:rPr>
          <w:rFonts w:hint="eastAsia" w:ascii="仿宋" w:hAnsi="仿宋" w:eastAsia="仿宋"/>
          <w:bCs/>
          <w:kern w:val="0"/>
          <w:sz w:val="32"/>
          <w:szCs w:val="32"/>
        </w:rPr>
        <w:t>剂</w:t>
      </w:r>
      <w:r>
        <w:rPr>
          <w:rFonts w:ascii="仿宋" w:hAnsi="仿宋" w:eastAsia="仿宋"/>
          <w:bCs/>
          <w:kern w:val="0"/>
          <w:sz w:val="32"/>
          <w:szCs w:val="32"/>
        </w:rPr>
        <w:t>的功效。</w:t>
      </w:r>
    </w:p>
    <w:p>
      <w:pPr>
        <w:numPr>
          <w:ilvl w:val="255"/>
          <w:numId w:val="0"/>
        </w:numPr>
        <w:adjustRightInd w:val="0"/>
        <w:snapToGrid w:val="0"/>
        <w:spacing w:line="360" w:lineRule="auto"/>
        <w:ind w:firstLine="640" w:firstLineChars="200"/>
        <w:rPr>
          <w:rFonts w:ascii="仿宋" w:hAnsi="仿宋" w:eastAsia="仿宋"/>
          <w:bCs/>
          <w:strike/>
          <w:kern w:val="0"/>
          <w:sz w:val="32"/>
          <w:szCs w:val="32"/>
        </w:rPr>
      </w:pPr>
      <w:r>
        <w:rPr>
          <w:rFonts w:hint="eastAsia" w:ascii="仿宋" w:hAnsi="仿宋" w:eastAsia="仿宋"/>
          <w:bCs/>
          <w:kern w:val="0"/>
          <w:sz w:val="32"/>
          <w:szCs w:val="32"/>
        </w:rPr>
        <w:t>新原料注册人、备案人应根据原料特性和预期在化妆品中发挥的作用，科学、准确地确定其使用目的，若其在化妆品中的实际功效是作用于人体，在关注其安全性和质量可控性基础上，还应关注其有效性，并开展能够证明原料具有与其使用目的相一致的相关研究。</w:t>
      </w:r>
    </w:p>
    <w:p>
      <w:pPr>
        <w:autoSpaceDE w:val="0"/>
        <w:autoSpaceDN w:val="0"/>
        <w:adjustRightInd w:val="0"/>
        <w:spacing w:line="360" w:lineRule="auto"/>
        <w:ind w:firstLine="643" w:firstLineChars="200"/>
        <w:outlineLvl w:val="1"/>
        <w:rPr>
          <w:rFonts w:ascii="仿宋" w:hAnsi="仿宋" w:eastAsia="仿宋" w:cs="仿宋"/>
          <w:b/>
          <w:color w:val="000000" w:themeColor="text1"/>
          <w:sz w:val="32"/>
          <w:szCs w:val="32"/>
          <w14:textFill>
            <w14:solidFill>
              <w14:schemeClr w14:val="tx1"/>
            </w14:solidFill>
          </w14:textFill>
        </w:rPr>
      </w:pPr>
      <w:bookmarkStart w:id="47" w:name="_Toc151322093"/>
      <w:bookmarkStart w:id="48" w:name="_Toc18665"/>
      <w:bookmarkStart w:id="49" w:name="_Toc3162"/>
      <w:bookmarkStart w:id="50" w:name="_Toc8413"/>
      <w:bookmarkStart w:id="51" w:name="_Toc142842256"/>
      <w:bookmarkStart w:id="52" w:name="_Toc16476"/>
      <w:bookmarkStart w:id="53" w:name="_Toc5423"/>
      <w:r>
        <w:rPr>
          <w:rFonts w:hint="eastAsia" w:ascii="仿宋" w:hAnsi="仿宋" w:eastAsia="仿宋" w:cs="仿宋"/>
          <w:b/>
          <w:color w:val="000000" w:themeColor="text1"/>
          <w:sz w:val="32"/>
          <w:szCs w:val="32"/>
          <w14:textFill>
            <w14:solidFill>
              <w14:schemeClr w14:val="tx1"/>
            </w14:solidFill>
          </w14:textFill>
        </w:rPr>
        <w:t>（二）管理类别</w:t>
      </w:r>
      <w:bookmarkEnd w:id="47"/>
      <w:bookmarkEnd w:id="48"/>
      <w:bookmarkEnd w:id="49"/>
      <w:bookmarkEnd w:id="50"/>
      <w:bookmarkEnd w:id="51"/>
      <w:bookmarkEnd w:id="52"/>
      <w:bookmarkEnd w:id="53"/>
    </w:p>
    <w:p>
      <w:pPr>
        <w:numPr>
          <w:ilvl w:val="255"/>
          <w:numId w:val="0"/>
        </w:numPr>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 w:hAnsi="仿宋" w:eastAsia="仿宋"/>
          <w:bCs/>
          <w:color w:val="000000" w:themeColor="text1"/>
          <w:kern w:val="0"/>
          <w:sz w:val="32"/>
          <w:szCs w:val="32"/>
          <w14:textFill>
            <w14:solidFill>
              <w14:schemeClr w14:val="tx1"/>
            </w14:solidFill>
          </w14:textFill>
        </w:rPr>
        <w:t>在符合上述化妆品原料作用和属性前提下，</w:t>
      </w:r>
      <w:bookmarkStart w:id="54" w:name="_Hlk142659672"/>
      <w:r>
        <w:rPr>
          <w:rFonts w:hint="eastAsia" w:ascii="仿宋_GB2312" w:hAnsi="仿宋_GB2312" w:eastAsia="仿宋_GB2312" w:cs="仿宋_GB2312"/>
          <w:bCs/>
          <w:color w:val="000000" w:themeColor="text1"/>
          <w:kern w:val="0"/>
          <w:sz w:val="32"/>
          <w:szCs w:val="32"/>
          <w14:textFill>
            <w14:solidFill>
              <w14:schemeClr w14:val="tx1"/>
            </w14:solidFill>
          </w14:textFill>
        </w:rPr>
        <w:t>根据新原料的研发创新程度，</w:t>
      </w:r>
      <w:bookmarkEnd w:id="54"/>
      <w:r>
        <w:rPr>
          <w:rFonts w:hint="eastAsia" w:ascii="仿宋_GB2312" w:hAnsi="仿宋_GB2312" w:eastAsia="仿宋_GB2312" w:cs="仿宋_GB2312"/>
          <w:bCs/>
          <w:color w:val="000000" w:themeColor="text1"/>
          <w:kern w:val="0"/>
          <w:sz w:val="32"/>
          <w:szCs w:val="32"/>
          <w14:textFill>
            <w14:solidFill>
              <w14:schemeClr w14:val="tx1"/>
            </w14:solidFill>
          </w14:textFill>
        </w:rPr>
        <w:t>从管理要求上化妆品新原料可以分为</w:t>
      </w:r>
      <w:r>
        <w:rPr>
          <w:rFonts w:hint="eastAsia" w:ascii="仿宋_GB2312" w:hAnsi="仿宋_GB2312" w:eastAsia="仿宋_GB2312" w:cs="仿宋_GB2312"/>
          <w:bCs/>
          <w:kern w:val="0"/>
          <w:sz w:val="32"/>
          <w:szCs w:val="32"/>
        </w:rPr>
        <w:t>国内外首次使用的新原料、国内首次使用的新原料，以及对已使用化妆品原料进行改进创新的新原料等。</w:t>
      </w:r>
    </w:p>
    <w:p>
      <w:pPr>
        <w:numPr>
          <w:ilvl w:val="255"/>
          <w:numId w:val="0"/>
        </w:numPr>
        <w:adjustRightInd w:val="0"/>
        <w:snapToGrid w:val="0"/>
        <w:spacing w:line="360" w:lineRule="auto"/>
        <w:ind w:firstLine="643" w:firstLineChars="200"/>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1.国内外首次使用的新原料</w:t>
      </w:r>
    </w:p>
    <w:p>
      <w:pPr>
        <w:numPr>
          <w:ilvl w:val="255"/>
          <w:numId w:val="0"/>
        </w:num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kern w:val="0"/>
          <w:sz w:val="32"/>
          <w:szCs w:val="32"/>
        </w:rPr>
        <w:t>首次发现并确认适用于化妆品的原料，或者</w:t>
      </w:r>
      <w:r>
        <w:rPr>
          <w:rFonts w:hint="eastAsia" w:ascii="仿宋" w:hAnsi="仿宋" w:eastAsia="仿宋"/>
          <w:bCs/>
          <w:color w:val="000000" w:themeColor="text1"/>
          <w:kern w:val="0"/>
          <w:sz w:val="32"/>
          <w:szCs w:val="32"/>
          <w14:textFill>
            <w14:solidFill>
              <w14:schemeClr w14:val="tx1"/>
            </w14:solidFill>
          </w14:textFill>
        </w:rPr>
        <w:t>是已知原料但在国内外尚未用于化妆品的原料。</w:t>
      </w:r>
    </w:p>
    <w:p>
      <w:pPr>
        <w:numPr>
          <w:ilvl w:val="255"/>
          <w:numId w:val="0"/>
        </w:numPr>
        <w:adjustRightInd w:val="0"/>
        <w:snapToGrid w:val="0"/>
        <w:spacing w:line="360" w:lineRule="auto"/>
        <w:ind w:firstLine="643" w:firstLineChars="200"/>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2.境内首次使用的新原料</w:t>
      </w:r>
    </w:p>
    <w:p>
      <w:pPr>
        <w:numPr>
          <w:ilvl w:val="255"/>
          <w:numId w:val="0"/>
        </w:numPr>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已在境外应用于化妆品，但在我国境内尚未应用于化妆品的原料。</w:t>
      </w:r>
    </w:p>
    <w:p>
      <w:pPr>
        <w:numPr>
          <w:ilvl w:val="255"/>
          <w:numId w:val="0"/>
        </w:numPr>
        <w:adjustRightInd w:val="0"/>
        <w:snapToGrid w:val="0"/>
        <w:spacing w:line="360" w:lineRule="auto"/>
        <w:ind w:firstLine="643" w:firstLineChars="200"/>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b/>
          <w:kern w:val="0"/>
          <w:sz w:val="32"/>
          <w:szCs w:val="32"/>
        </w:rPr>
        <w:t>3.</w:t>
      </w:r>
      <w:r>
        <w:rPr>
          <w:rFonts w:hint="eastAsia" w:ascii="仿宋" w:hAnsi="仿宋" w:eastAsia="仿宋"/>
          <w:b/>
          <w:color w:val="000000" w:themeColor="text1"/>
          <w:kern w:val="0"/>
          <w:sz w:val="32"/>
          <w:szCs w:val="32"/>
          <w14:textFill>
            <w14:solidFill>
              <w14:schemeClr w14:val="tx1"/>
            </w14:solidFill>
          </w14:textFill>
        </w:rPr>
        <w:t>改进创新的新原料</w:t>
      </w:r>
    </w:p>
    <w:p>
      <w:pPr>
        <w:numPr>
          <w:ilvl w:val="255"/>
          <w:numId w:val="0"/>
        </w:numPr>
        <w:adjustRightInd w:val="0"/>
        <w:snapToGrid w:val="0"/>
        <w:spacing w:line="360" w:lineRule="auto"/>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改进创新的新原料具体</w:t>
      </w:r>
      <w:r>
        <w:rPr>
          <w:rFonts w:hint="eastAsia" w:ascii="仿宋_GB2312" w:hAnsi="仿宋_GB2312" w:eastAsia="仿宋_GB2312" w:cs="仿宋_GB2312"/>
          <w:bCs/>
          <w:kern w:val="0"/>
          <w:sz w:val="32"/>
          <w:szCs w:val="32"/>
        </w:rPr>
        <w:t>包括以下两种情形：</w:t>
      </w:r>
    </w:p>
    <w:p>
      <w:pPr>
        <w:numPr>
          <w:ilvl w:val="0"/>
          <w:numId w:val="1"/>
        </w:numPr>
        <w:adjustRightInd w:val="0"/>
        <w:snapToGrid w:val="0"/>
        <w:spacing w:line="360" w:lineRule="auto"/>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对使用目的、安全使用量明确的已使用化妆品原料，调整其使用目的为</w:t>
      </w:r>
      <w:r>
        <w:rPr>
          <w:rFonts w:hint="eastAsia" w:ascii="仿宋" w:hAnsi="仿宋" w:eastAsia="仿宋"/>
          <w:bCs/>
          <w:kern w:val="0"/>
          <w:sz w:val="32"/>
          <w:szCs w:val="32"/>
        </w:rPr>
        <w:t>防腐剂、防晒剂、着色剂、染发剂、祛斑美白剂。</w:t>
      </w:r>
    </w:p>
    <w:p>
      <w:pPr>
        <w:numPr>
          <w:ilvl w:val="255"/>
          <w:numId w:val="0"/>
        </w:numPr>
        <w:adjustRightInd w:val="0"/>
        <w:snapToGrid w:val="0"/>
        <w:spacing w:line="360" w:lineRule="auto"/>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（2）对使用目的、安全使用量明确的已使用原料进行改进和创新，可通过优化原料制备技术和生产工艺</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且改变原料物质基础等方面开展实质创新性研究，</w:t>
      </w:r>
      <w:r>
        <w:rPr>
          <w:rFonts w:hint="eastAsia" w:ascii="仿宋_GB2312" w:hAnsi="仿宋_GB2312" w:eastAsia="仿宋_GB2312" w:cs="仿宋_GB2312"/>
          <w:bCs/>
          <w:kern w:val="0"/>
          <w:sz w:val="32"/>
          <w:szCs w:val="32"/>
          <w:lang w:eastAsia="zh-CN"/>
        </w:rPr>
        <w:t>同时</w:t>
      </w:r>
      <w:r>
        <w:rPr>
          <w:rFonts w:hint="eastAsia" w:ascii="仿宋_GB2312" w:hAnsi="仿宋_GB2312" w:eastAsia="仿宋_GB2312" w:cs="仿宋_GB2312"/>
          <w:bCs/>
          <w:kern w:val="0"/>
          <w:sz w:val="32"/>
          <w:szCs w:val="32"/>
        </w:rPr>
        <w:t>提升原料安全、功效、稳定、质量可控性。</w:t>
      </w:r>
    </w:p>
    <w:p>
      <w:pPr>
        <w:autoSpaceDE w:val="0"/>
        <w:autoSpaceDN w:val="0"/>
        <w:adjustRightInd w:val="0"/>
        <w:spacing w:line="360" w:lineRule="auto"/>
        <w:ind w:firstLine="643" w:firstLineChars="200"/>
        <w:outlineLvl w:val="1"/>
        <w:rPr>
          <w:rFonts w:ascii="仿宋" w:hAnsi="仿宋" w:eastAsia="仿宋" w:cs="仿宋"/>
          <w:b/>
          <w:color w:val="000000" w:themeColor="text1"/>
          <w:sz w:val="32"/>
          <w:szCs w:val="32"/>
          <w14:textFill>
            <w14:solidFill>
              <w14:schemeClr w14:val="tx1"/>
            </w14:solidFill>
          </w14:textFill>
        </w:rPr>
      </w:pPr>
      <w:bookmarkStart w:id="55" w:name="_Toc5727"/>
      <w:bookmarkStart w:id="56" w:name="_Toc22270"/>
      <w:bookmarkStart w:id="57" w:name="_Toc151322094"/>
      <w:bookmarkStart w:id="58" w:name="_Toc32730"/>
      <w:bookmarkStart w:id="59" w:name="_Toc142842257"/>
      <w:bookmarkStart w:id="60" w:name="_Toc31070"/>
      <w:bookmarkStart w:id="61" w:name="_Toc10116"/>
      <w:r>
        <w:rPr>
          <w:rFonts w:hint="eastAsia" w:ascii="仿宋" w:hAnsi="仿宋" w:eastAsia="仿宋" w:cs="仿宋"/>
          <w:b/>
          <w:color w:val="000000" w:themeColor="text1"/>
          <w:sz w:val="32"/>
          <w:szCs w:val="32"/>
          <w14:textFill>
            <w14:solidFill>
              <w14:schemeClr w14:val="tx1"/>
            </w14:solidFill>
          </w14:textFill>
        </w:rPr>
        <w:t>（三）不属于化妆品新原料的情形</w:t>
      </w:r>
      <w:bookmarkEnd w:id="55"/>
      <w:bookmarkEnd w:id="56"/>
      <w:bookmarkEnd w:id="57"/>
      <w:bookmarkEnd w:id="58"/>
      <w:bookmarkEnd w:id="59"/>
      <w:bookmarkEnd w:id="60"/>
      <w:bookmarkEnd w:id="61"/>
    </w:p>
    <w:p>
      <w:pPr>
        <w:numPr>
          <w:ilvl w:val="255"/>
          <w:numId w:val="0"/>
        </w:numPr>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1.原料在化妆品中的预期使用方法、施用部位或者使用目的超出化妆品定义范畴的，不属于化妆品新原料，包括但不限于以下几种情形：</w:t>
      </w:r>
    </w:p>
    <w:p>
      <w:pPr>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（1）原料预期在化妆品中的使用方法应为涂擦、喷洒或其他类似方法，若使用方法为口服、注射、填埋、熏蒸、吸入、导入、刺入、植入等的，不属于化妆品新原料；</w:t>
      </w:r>
    </w:p>
    <w:p>
      <w:pPr>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（2）原料预期在化妆品中的施用部位应为皮肤、毛发、指甲、口唇等人体表面，若施用部位直接到达角质层以下、耳道、眼内以及口腔、鼻腔、生殖系统等人体粘膜部位的，不属于化妆品新原料；</w:t>
      </w:r>
    </w:p>
    <w:p>
      <w:pPr>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（3）原料预期在化妆品中的实际功效超出清洁、保护、美化、修饰范围，如用于治疗皮肤疾病、皮肤创面恢复、</w:t>
      </w:r>
      <w:r>
        <w:rPr>
          <w:rFonts w:hint="eastAsia" w:ascii="仿宋_GB2312" w:hAnsi="仿宋_GB2312" w:eastAsia="仿宋_GB2312" w:cs="仿宋_GB2312"/>
          <w:bCs/>
          <w:kern w:val="0"/>
          <w:sz w:val="32"/>
          <w:szCs w:val="32"/>
          <w:lang w:eastAsia="zh-Hans"/>
        </w:rPr>
        <w:t>瘢痕修复</w:t>
      </w:r>
      <w:r>
        <w:rPr>
          <w:rFonts w:hint="eastAsia" w:ascii="仿宋_GB2312" w:hAnsi="仿宋_GB2312" w:eastAsia="仿宋_GB2312" w:cs="仿宋_GB2312"/>
          <w:bCs/>
          <w:kern w:val="0"/>
          <w:sz w:val="32"/>
          <w:szCs w:val="32"/>
        </w:rPr>
        <w:t>等医疗目的，用于减轻或防止蚊虫侵扰、杀灭微生物或病原体的，以及作用机制涉及调节激素水平、促进组织再生、促进细胞分裂和增殖、修复受损细胞、修复</w:t>
      </w:r>
      <w:r>
        <w:rPr>
          <w:rFonts w:ascii="仿宋_GB2312" w:hAnsi="仿宋_GB2312" w:eastAsia="仿宋_GB2312" w:cs="仿宋_GB2312"/>
          <w:bCs/>
          <w:kern w:val="0"/>
          <w:sz w:val="32"/>
          <w:szCs w:val="32"/>
        </w:rPr>
        <w:t>DNA损伤、抑制皮肤炎症等的，不属于化妆品新原料；</w:t>
      </w:r>
    </w:p>
    <w:p>
      <w:pPr>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化妆品相关技术法规中已规定为禁用原料或与禁用原料基本结构、理化性质和实际功能相似的原料，或者经过安全性风险评估，认为在正常、合理的及可预见的使用条件下，对人体健康产生危害的原料，不属于化妆品新原料。</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ascii="仿宋_GB2312" w:hAnsi="仿宋_GB2312" w:eastAsia="仿宋_GB2312" w:cs="仿宋_GB2312"/>
          <w:bCs/>
          <w:kern w:val="0"/>
          <w:sz w:val="32"/>
          <w:szCs w:val="32"/>
        </w:rPr>
        <w:t>3.</w:t>
      </w:r>
      <w:r>
        <w:rPr>
          <w:rFonts w:ascii="仿宋" w:hAnsi="仿宋" w:eastAsia="仿宋"/>
          <w:bCs/>
          <w:color w:val="000000" w:themeColor="text1"/>
          <w:kern w:val="0"/>
          <w:sz w:val="32"/>
          <w:szCs w:val="32"/>
          <w14:textFill>
            <w14:solidFill>
              <w14:schemeClr w14:val="tx1"/>
            </w14:solidFill>
          </w14:textFill>
        </w:rPr>
        <w:t xml:space="preserve"> </w:t>
      </w:r>
      <w:r>
        <w:rPr>
          <w:rFonts w:hint="eastAsia" w:ascii="仿宋" w:hAnsi="仿宋" w:eastAsia="仿宋"/>
          <w:bCs/>
          <w:color w:val="000000" w:themeColor="text1"/>
          <w:kern w:val="0"/>
          <w:sz w:val="32"/>
          <w:szCs w:val="32"/>
          <w14:textFill>
            <w14:solidFill>
              <w14:schemeClr w14:val="tx1"/>
            </w14:solidFill>
          </w14:textFill>
        </w:rPr>
        <w:t>已收录于《已使用化妆品原料目录》（以下简称《目录》）的原料或者包含于《目录》中已收载的类别原料中的具体原料，以及</w:t>
      </w:r>
      <w:r>
        <w:rPr>
          <w:rFonts w:ascii="仿宋" w:hAnsi="仿宋" w:eastAsia="仿宋"/>
          <w:bCs/>
          <w:color w:val="000000" w:themeColor="text1"/>
          <w:kern w:val="0"/>
          <w:sz w:val="32"/>
          <w:szCs w:val="32"/>
          <w14:textFill>
            <w14:solidFill>
              <w14:schemeClr w14:val="tx1"/>
            </w14:solidFill>
          </w14:textFill>
        </w:rPr>
        <w:t>发挥功效的物质基础与</w:t>
      </w:r>
      <w:r>
        <w:rPr>
          <w:rFonts w:hint="eastAsia" w:ascii="仿宋" w:hAnsi="仿宋" w:eastAsia="仿宋"/>
          <w:bCs/>
          <w:color w:val="000000" w:themeColor="text1"/>
          <w:kern w:val="0"/>
          <w:sz w:val="32"/>
          <w:szCs w:val="32"/>
          <w14:textFill>
            <w14:solidFill>
              <w14:schemeClr w14:val="tx1"/>
            </w14:solidFill>
          </w14:textFill>
        </w:rPr>
        <w:t>《目录》中的原料一致的，不属于化妆品新原料。</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例如《目录》中已收载了类别原料“胶原”，即胶原蛋白，表示为某一类别原料的总称，该类别原料包含了不同工艺来源如动物组织提取、基因重组的胶原，也包含了不同分型如I型胶原、III型胶原等；《目录》中收录了“某某植物提取物”原料，例如“人参提取物”表示人参全株及其提取物均为已使用原料，则“人参汁”或者人参某个具体部位的原料归类为“人参提取物”；此外，透明质酸钠与透明质酸</w:t>
      </w:r>
      <w:r>
        <w:rPr>
          <w:rFonts w:ascii="仿宋" w:hAnsi="仿宋" w:eastAsia="仿宋"/>
          <w:bCs/>
          <w:color w:val="000000" w:themeColor="text1"/>
          <w:kern w:val="0"/>
          <w:sz w:val="32"/>
          <w:szCs w:val="32"/>
          <w14:textFill>
            <w14:solidFill>
              <w14:schemeClr w14:val="tx1"/>
            </w14:solidFill>
          </w14:textFill>
        </w:rPr>
        <w:t>发挥功效的物质基础相同，其属于同一类原料。</w:t>
      </w: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14:textFill>
            <w14:solidFill>
              <w14:schemeClr w14:val="tx1"/>
            </w14:solidFill>
          </w14:textFill>
        </w:rPr>
      </w:pPr>
      <w:bookmarkStart w:id="62" w:name="_Toc29773"/>
      <w:bookmarkStart w:id="63" w:name="_Toc13894"/>
      <w:bookmarkStart w:id="64" w:name="_Toc151322095"/>
      <w:bookmarkStart w:id="65" w:name="_Toc124498235"/>
      <w:bookmarkStart w:id="66" w:name="_Toc10999"/>
      <w:bookmarkStart w:id="67" w:name="_Toc31595"/>
      <w:bookmarkStart w:id="68" w:name="_Toc142842258"/>
      <w:bookmarkStart w:id="69" w:name="_Toc29112"/>
      <w:r>
        <w:rPr>
          <w:rFonts w:hint="eastAsia" w:ascii="黑体" w:hAnsi="黑体" w:eastAsia="黑体" w:cs="黑体"/>
          <w:color w:val="000000" w:themeColor="text1"/>
          <w:sz w:val="32"/>
          <w:szCs w:val="32"/>
          <w14:textFill>
            <w14:solidFill>
              <w14:schemeClr w14:val="tx1"/>
            </w14:solidFill>
          </w14:textFill>
        </w:rPr>
        <w:t>三、通用要求</w:t>
      </w:r>
      <w:bookmarkEnd w:id="62"/>
      <w:bookmarkEnd w:id="63"/>
      <w:bookmarkEnd w:id="64"/>
      <w:bookmarkEnd w:id="65"/>
      <w:bookmarkEnd w:id="66"/>
      <w:bookmarkEnd w:id="67"/>
      <w:bookmarkEnd w:id="68"/>
      <w:bookmarkEnd w:id="69"/>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化妆品新原料注册人、备案人在新原料研究中，应对其使用目的、作用机理、预期使用方法、施用部位、具有的实际功能，以及组成特征、来源属性、制备工艺等进行充分研究，对相关风险进行全面梳理、识别和判定，以确保其在化妆品中使用的安全性和发挥相应的功能作用。</w:t>
      </w:r>
    </w:p>
    <w:p>
      <w:pPr>
        <w:autoSpaceDE w:val="0"/>
        <w:autoSpaceDN w:val="0"/>
        <w:adjustRightInd w:val="0"/>
        <w:spacing w:line="360" w:lineRule="auto"/>
        <w:ind w:firstLine="643" w:firstLineChars="200"/>
        <w:outlineLvl w:val="1"/>
        <w:rPr>
          <w:rFonts w:ascii="仿宋" w:hAnsi="仿宋" w:eastAsia="仿宋" w:cs="仿宋"/>
          <w:b/>
          <w:color w:val="000000" w:themeColor="text1"/>
          <w:sz w:val="32"/>
          <w:szCs w:val="32"/>
          <w14:textFill>
            <w14:solidFill>
              <w14:schemeClr w14:val="tx1"/>
            </w14:solidFill>
          </w14:textFill>
        </w:rPr>
      </w:pPr>
      <w:bookmarkStart w:id="70" w:name="_Toc142842259"/>
      <w:bookmarkStart w:id="71" w:name="_Toc151322096"/>
      <w:bookmarkStart w:id="72" w:name="_Toc902"/>
      <w:bookmarkStart w:id="73" w:name="_Toc25364"/>
      <w:bookmarkStart w:id="74" w:name="_Toc24393"/>
      <w:bookmarkStart w:id="75" w:name="_Toc27065"/>
      <w:bookmarkStart w:id="76" w:name="_Toc16376"/>
      <w:r>
        <w:rPr>
          <w:rFonts w:hint="eastAsia" w:ascii="仿宋" w:hAnsi="仿宋" w:eastAsia="仿宋" w:cs="仿宋"/>
          <w:b/>
          <w:color w:val="000000" w:themeColor="text1"/>
          <w:sz w:val="32"/>
          <w:szCs w:val="32"/>
          <w14:textFill>
            <w14:solidFill>
              <w14:schemeClr w14:val="tx1"/>
            </w14:solidFill>
          </w14:textFill>
        </w:rPr>
        <w:t>（一）研究内容</w:t>
      </w:r>
      <w:bookmarkEnd w:id="70"/>
      <w:bookmarkEnd w:id="71"/>
      <w:bookmarkEnd w:id="72"/>
      <w:bookmarkEnd w:id="73"/>
      <w:bookmarkEnd w:id="74"/>
      <w:bookmarkEnd w:id="75"/>
      <w:bookmarkEnd w:id="76"/>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化妆品新原料研究内容主要包括：客观、准确地描述新原料的来源、性状、特征（如部位、组成、结构或者分子量范围和分布等）和安全使用要求；阐明新原料的使用目的、实际功能、制备工艺、质量控制和安全评估等内容；作用于人体表面的新原料，基于原料特点开展</w:t>
      </w:r>
      <w:r>
        <w:rPr>
          <w:rFonts w:hint="eastAsia" w:ascii="仿宋_GB2312" w:hAnsi="仿宋_GB2312" w:eastAsia="仿宋_GB2312" w:cs="仿宋_GB2312"/>
          <w:bCs/>
          <w:color w:val="000000" w:themeColor="text1"/>
          <w:kern w:val="0"/>
          <w:sz w:val="32"/>
          <w:szCs w:val="32"/>
          <w14:textFill>
            <w14:solidFill>
              <w14:schemeClr w14:val="tx1"/>
            </w14:solidFill>
          </w14:textFill>
        </w:rPr>
        <w:t>功效评价，逐一研究确定新原料各个使用目的的起效量（着色剂除外）；</w:t>
      </w:r>
      <w:r>
        <w:rPr>
          <w:rFonts w:hint="eastAsia" w:ascii="仿宋" w:hAnsi="仿宋" w:eastAsia="仿宋"/>
          <w:bCs/>
          <w:color w:val="000000" w:themeColor="text1"/>
          <w:kern w:val="0"/>
          <w:sz w:val="32"/>
          <w:szCs w:val="32"/>
          <w14:textFill>
            <w14:solidFill>
              <w14:schemeClr w14:val="tx1"/>
            </w14:solidFill>
          </w14:textFill>
        </w:rPr>
        <w:t>基于原料的安全性因素开展透皮吸收研究，通过毒理学试验数据和风险评估</w:t>
      </w:r>
      <w:r>
        <w:rPr>
          <w:rFonts w:hint="eastAsia" w:ascii="仿宋_GB2312" w:hAnsi="仿宋_GB2312" w:eastAsia="仿宋_GB2312" w:cs="仿宋_GB2312"/>
          <w:bCs/>
          <w:color w:val="000000" w:themeColor="text1"/>
          <w:kern w:val="0"/>
          <w:sz w:val="32"/>
          <w:szCs w:val="32"/>
          <w14:textFill>
            <w14:solidFill>
              <w14:schemeClr w14:val="tx1"/>
            </w14:solidFill>
          </w14:textFill>
        </w:rPr>
        <w:t>确定新原料的限定使用条件和安全使用量</w:t>
      </w:r>
      <w:r>
        <w:rPr>
          <w:rFonts w:hint="eastAsia" w:ascii="仿宋" w:hAnsi="仿宋" w:eastAsia="仿宋"/>
          <w:bCs/>
          <w:color w:val="000000" w:themeColor="text1"/>
          <w:kern w:val="0"/>
          <w:sz w:val="32"/>
          <w:szCs w:val="32"/>
          <w14:textFill>
            <w14:solidFill>
              <w14:schemeClr w14:val="tx1"/>
            </w14:solidFill>
          </w14:textFill>
        </w:rPr>
        <w:t>；通过对规模化生产的样品开展成分分析、稳定性考察等实验研究确保质量可控，并分析生产过程中可能带入的安全性风险物质及控制措施；对化妆品原料安全相关信息开展研究，主要包括质量规格、风险物质控制、风险评估等与原料安全相关的内容。</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化妆品新原料注册人、备案人开展新原料研发时，应当符合相关法律法规、技术规范和指导原则要求，对研究资料的真实性负责，确保其合法、真实、准确、完整和可追溯，相关研究原始记录及数据应当存档备查。</w:t>
      </w:r>
    </w:p>
    <w:p>
      <w:pPr>
        <w:autoSpaceDE w:val="0"/>
        <w:autoSpaceDN w:val="0"/>
        <w:adjustRightInd w:val="0"/>
        <w:spacing w:line="360" w:lineRule="auto"/>
        <w:ind w:firstLine="643" w:firstLineChars="200"/>
        <w:outlineLvl w:val="1"/>
        <w:rPr>
          <w:rFonts w:ascii="仿宋" w:hAnsi="仿宋" w:eastAsia="仿宋" w:cs="仿宋"/>
          <w:b/>
          <w:color w:val="000000" w:themeColor="text1"/>
          <w:sz w:val="32"/>
          <w:szCs w:val="32"/>
          <w14:textFill>
            <w14:solidFill>
              <w14:schemeClr w14:val="tx1"/>
            </w14:solidFill>
          </w14:textFill>
        </w:rPr>
      </w:pPr>
      <w:bookmarkStart w:id="77" w:name="_Toc8299"/>
      <w:bookmarkStart w:id="78" w:name="_Toc142842260"/>
      <w:bookmarkStart w:id="79" w:name="_Toc10894"/>
      <w:bookmarkStart w:id="80" w:name="_Toc14255"/>
      <w:bookmarkStart w:id="81" w:name="_Toc3692"/>
      <w:bookmarkStart w:id="82" w:name="_Toc151322097"/>
      <w:bookmarkStart w:id="83" w:name="_Toc32083"/>
      <w:r>
        <w:rPr>
          <w:rFonts w:hint="eastAsia" w:ascii="仿宋" w:hAnsi="仿宋" w:eastAsia="仿宋" w:cs="仿宋"/>
          <w:b/>
          <w:color w:val="000000" w:themeColor="text1"/>
          <w:sz w:val="32"/>
          <w:szCs w:val="32"/>
          <w14:textFill>
            <w14:solidFill>
              <w14:schemeClr w14:val="tx1"/>
            </w14:solidFill>
          </w14:textFill>
        </w:rPr>
        <w:t>（二）命名要求</w:t>
      </w:r>
      <w:bookmarkEnd w:id="77"/>
      <w:bookmarkEnd w:id="78"/>
      <w:bookmarkEnd w:id="79"/>
      <w:bookmarkEnd w:id="80"/>
      <w:bookmarkEnd w:id="81"/>
      <w:bookmarkEnd w:id="82"/>
      <w:bookmarkEnd w:id="83"/>
    </w:p>
    <w:p>
      <w:pPr>
        <w:numPr>
          <w:ilvl w:val="255"/>
          <w:numId w:val="0"/>
        </w:num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化妆品</w:t>
      </w:r>
      <w:r>
        <w:rPr>
          <w:rFonts w:ascii="仿宋" w:hAnsi="仿宋" w:eastAsia="仿宋"/>
          <w:bCs/>
          <w:color w:val="000000" w:themeColor="text1"/>
          <w:kern w:val="0"/>
          <w:sz w:val="32"/>
          <w:szCs w:val="32"/>
          <w14:textFill>
            <w14:solidFill>
              <w14:schemeClr w14:val="tx1"/>
            </w14:solidFill>
          </w14:textFill>
        </w:rPr>
        <w:t>新原料的名称应根据其组成</w:t>
      </w:r>
      <w:r>
        <w:rPr>
          <w:rFonts w:hint="eastAsia" w:ascii="仿宋" w:hAnsi="仿宋" w:eastAsia="仿宋"/>
          <w:bCs/>
          <w:color w:val="000000" w:themeColor="text1"/>
          <w:kern w:val="0"/>
          <w:sz w:val="32"/>
          <w:szCs w:val="32"/>
          <w14:textFill>
            <w14:solidFill>
              <w14:schemeClr w14:val="tx1"/>
            </w14:solidFill>
          </w14:textFill>
        </w:rPr>
        <w:t>特征、来源属性和制备工艺等准确命名，并与制备工艺终产物形式相符，例如从植物、动物、发酵产物中提取的单一</w:t>
      </w:r>
      <w:r>
        <w:rPr>
          <w:rFonts w:ascii="仿宋" w:hAnsi="仿宋" w:eastAsia="仿宋"/>
          <w:bCs/>
          <w:color w:val="000000" w:themeColor="text1"/>
          <w:kern w:val="0"/>
          <w:sz w:val="32"/>
          <w:szCs w:val="32"/>
          <w14:textFill>
            <w14:solidFill>
              <w14:schemeClr w14:val="tx1"/>
            </w14:solidFill>
          </w14:textFill>
        </w:rPr>
        <w:t>化学</w:t>
      </w:r>
      <w:r>
        <w:rPr>
          <w:rFonts w:hint="eastAsia" w:ascii="仿宋" w:hAnsi="仿宋" w:eastAsia="仿宋"/>
          <w:bCs/>
          <w:color w:val="000000" w:themeColor="text1"/>
          <w:kern w:val="0"/>
          <w:sz w:val="32"/>
          <w:szCs w:val="32"/>
          <w14:textFill>
            <w14:solidFill>
              <w14:schemeClr w14:val="tx1"/>
            </w14:solidFill>
          </w14:textFill>
        </w:rPr>
        <w:t>成分（含量≥80%）</w:t>
      </w:r>
      <w:r>
        <w:rPr>
          <w:rFonts w:ascii="仿宋" w:hAnsi="仿宋" w:eastAsia="仿宋"/>
          <w:bCs/>
          <w:color w:val="000000" w:themeColor="text1"/>
          <w:kern w:val="0"/>
          <w:sz w:val="32"/>
          <w:szCs w:val="32"/>
          <w14:textFill>
            <w14:solidFill>
              <w14:schemeClr w14:val="tx1"/>
            </w14:solidFill>
          </w14:textFill>
        </w:rPr>
        <w:t>，</w:t>
      </w:r>
      <w:r>
        <w:rPr>
          <w:rFonts w:hint="eastAsia" w:ascii="仿宋" w:hAnsi="仿宋" w:eastAsia="仿宋"/>
          <w:bCs/>
          <w:color w:val="000000" w:themeColor="text1"/>
          <w:kern w:val="0"/>
          <w:sz w:val="32"/>
          <w:szCs w:val="32"/>
          <w14:textFill>
            <w14:solidFill>
              <w14:schemeClr w14:val="tx1"/>
            </w14:solidFill>
          </w14:textFill>
        </w:rPr>
        <w:t>应当按照单一化学成分</w:t>
      </w:r>
      <w:r>
        <w:rPr>
          <w:rFonts w:ascii="仿宋" w:hAnsi="仿宋" w:eastAsia="仿宋"/>
          <w:bCs/>
          <w:color w:val="000000" w:themeColor="text1"/>
          <w:kern w:val="0"/>
          <w:sz w:val="32"/>
          <w:szCs w:val="32"/>
          <w14:textFill>
            <w14:solidFill>
              <w14:schemeClr w14:val="tx1"/>
            </w14:solidFill>
          </w14:textFill>
        </w:rPr>
        <w:t>进行</w:t>
      </w:r>
      <w:r>
        <w:rPr>
          <w:rFonts w:hint="eastAsia" w:ascii="仿宋" w:hAnsi="仿宋" w:eastAsia="仿宋"/>
          <w:bCs/>
          <w:color w:val="000000" w:themeColor="text1"/>
          <w:kern w:val="0"/>
          <w:sz w:val="32"/>
          <w:szCs w:val="32"/>
          <w14:textFill>
            <w14:solidFill>
              <w14:schemeClr w14:val="tx1"/>
            </w14:solidFill>
          </w14:textFill>
        </w:rPr>
        <w:t>命名。</w:t>
      </w:r>
      <w:r>
        <w:rPr>
          <w:rFonts w:hint="eastAsia" w:ascii="Times New Roman" w:hAnsi="Times New Roman" w:eastAsia="仿宋"/>
          <w:sz w:val="32"/>
          <w:szCs w:val="32"/>
        </w:rPr>
        <w:t>若新原料存在同分异构体，应在原料名称中予以明确，比如α型或β型。</w:t>
      </w:r>
    </w:p>
    <w:p>
      <w:pPr>
        <w:numPr>
          <w:ilvl w:val="255"/>
          <w:numId w:val="0"/>
        </w:num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化妆品新原料名称一般包括原料标准中文名称、英文名称</w:t>
      </w:r>
      <w:r>
        <w:rPr>
          <w:rFonts w:ascii="仿宋" w:hAnsi="仿宋" w:eastAsia="仿宋"/>
          <w:bCs/>
          <w:color w:val="000000" w:themeColor="text1"/>
          <w:kern w:val="0"/>
          <w:sz w:val="32"/>
          <w:szCs w:val="32"/>
          <w14:textFill>
            <w14:solidFill>
              <w14:schemeClr w14:val="tx1"/>
            </w14:solidFill>
          </w14:textFill>
        </w:rPr>
        <w:t>/INCI名称及其ID号，</w:t>
      </w:r>
      <w:r>
        <w:rPr>
          <w:rFonts w:hint="eastAsia" w:ascii="仿宋" w:hAnsi="仿宋" w:eastAsia="仿宋"/>
          <w:bCs/>
          <w:color w:val="000000" w:themeColor="text1"/>
          <w:kern w:val="0"/>
          <w:sz w:val="32"/>
          <w:szCs w:val="32"/>
          <w14:textFill>
            <w14:solidFill>
              <w14:schemeClr w14:val="tx1"/>
            </w14:solidFill>
          </w14:textFill>
        </w:rPr>
        <w:t>根据国际</w:t>
      </w:r>
      <w:r>
        <w:rPr>
          <w:rFonts w:ascii="仿宋" w:hAnsi="仿宋" w:eastAsia="仿宋"/>
          <w:bCs/>
          <w:color w:val="000000" w:themeColor="text1"/>
          <w:kern w:val="0"/>
          <w:sz w:val="32"/>
          <w:szCs w:val="32"/>
          <w14:textFill>
            <w14:solidFill>
              <w14:schemeClr w14:val="tx1"/>
            </w14:solidFill>
          </w14:textFill>
        </w:rPr>
        <w:t>通行的命名原则</w:t>
      </w:r>
      <w:r>
        <w:rPr>
          <w:rFonts w:hint="eastAsia" w:ascii="仿宋" w:hAnsi="仿宋" w:eastAsia="仿宋"/>
          <w:bCs/>
          <w:color w:val="000000" w:themeColor="text1"/>
          <w:kern w:val="0"/>
          <w:sz w:val="32"/>
          <w:szCs w:val="32"/>
          <w14:textFill>
            <w14:solidFill>
              <w14:schemeClr w14:val="tx1"/>
            </w14:solidFill>
          </w14:textFill>
        </w:rPr>
        <w:t>确</w:t>
      </w:r>
      <w:r>
        <w:rPr>
          <w:rFonts w:ascii="仿宋" w:hAnsi="仿宋" w:eastAsia="仿宋"/>
          <w:bCs/>
          <w:color w:val="000000" w:themeColor="text1"/>
          <w:kern w:val="0"/>
          <w:sz w:val="32"/>
          <w:szCs w:val="32"/>
          <w14:textFill>
            <w14:solidFill>
              <w14:schemeClr w14:val="tx1"/>
            </w14:solidFill>
          </w14:textFill>
        </w:rPr>
        <w:t>定原料标准中文名称</w:t>
      </w:r>
      <w:r>
        <w:rPr>
          <w:rFonts w:hint="eastAsia" w:ascii="仿宋" w:hAnsi="仿宋" w:eastAsia="仿宋"/>
          <w:bCs/>
          <w:color w:val="000000" w:themeColor="text1"/>
          <w:kern w:val="0"/>
          <w:sz w:val="32"/>
          <w:szCs w:val="32"/>
          <w14:textFill>
            <w14:solidFill>
              <w14:schemeClr w14:val="tx1"/>
            </w14:solidFill>
          </w14:textFill>
        </w:rPr>
        <w:t>；</w:t>
      </w:r>
      <w:r>
        <w:rPr>
          <w:rFonts w:hint="eastAsia" w:ascii="Times New Roman" w:hAnsi="Times New Roman" w:eastAsia="仿宋"/>
          <w:sz w:val="32"/>
          <w:szCs w:val="32"/>
        </w:rPr>
        <w:t>直接来源于植物的新原料可按照“中文名+拉丁学名+使用部</w:t>
      </w:r>
      <w:r>
        <w:rPr>
          <w:rFonts w:ascii="仿宋" w:hAnsi="仿宋" w:eastAsia="仿宋"/>
          <w:color w:val="000000"/>
          <w:sz w:val="32"/>
          <w:szCs w:val="32"/>
        </w:rPr>
        <w:t>位+使用形式”的</w:t>
      </w:r>
      <w:r>
        <w:rPr>
          <w:rFonts w:hint="eastAsia" w:ascii="仿宋" w:hAnsi="仿宋" w:eastAsia="仿宋"/>
          <w:color w:val="000000"/>
          <w:sz w:val="32"/>
          <w:szCs w:val="32"/>
        </w:rPr>
        <w:t>格式</w:t>
      </w:r>
      <w:r>
        <w:rPr>
          <w:rFonts w:hint="eastAsia" w:ascii="仿宋" w:hAnsi="仿宋" w:eastAsia="仿宋"/>
          <w:sz w:val="32"/>
          <w:szCs w:val="32"/>
        </w:rPr>
        <w:t>命名等。</w:t>
      </w:r>
      <w:r>
        <w:rPr>
          <w:rFonts w:ascii="仿宋" w:hAnsi="仿宋" w:eastAsia="仿宋"/>
          <w:sz w:val="32"/>
          <w:szCs w:val="32"/>
        </w:rPr>
        <w:t>如果原料已经被《国际化妆品原料字典和手册》收录，应明确原料的INCI名称</w:t>
      </w:r>
      <w:r>
        <w:rPr>
          <w:rFonts w:hint="eastAsia" w:ascii="仿宋" w:hAnsi="仿宋" w:eastAsia="仿宋"/>
          <w:sz w:val="32"/>
          <w:szCs w:val="32"/>
        </w:rPr>
        <w:t>及其</w:t>
      </w:r>
      <w:r>
        <w:rPr>
          <w:rFonts w:ascii="仿宋" w:hAnsi="仿宋" w:eastAsia="仿宋"/>
          <w:sz w:val="32"/>
          <w:szCs w:val="32"/>
        </w:rPr>
        <w:t>ID号码。</w:t>
      </w:r>
    </w:p>
    <w:p>
      <w:pPr>
        <w:autoSpaceDE w:val="0"/>
        <w:autoSpaceDN w:val="0"/>
        <w:adjustRightInd w:val="0"/>
        <w:spacing w:line="360" w:lineRule="auto"/>
        <w:ind w:firstLine="643" w:firstLineChars="200"/>
        <w:outlineLvl w:val="1"/>
        <w:rPr>
          <w:rFonts w:ascii="仿宋" w:hAnsi="仿宋" w:eastAsia="仿宋" w:cs="仿宋"/>
          <w:b/>
          <w:color w:val="000000" w:themeColor="text1"/>
          <w:sz w:val="32"/>
          <w:szCs w:val="32"/>
          <w14:textFill>
            <w14:solidFill>
              <w14:schemeClr w14:val="tx1"/>
            </w14:solidFill>
          </w14:textFill>
        </w:rPr>
      </w:pPr>
      <w:bookmarkStart w:id="84" w:name="_Toc28707"/>
      <w:bookmarkStart w:id="85" w:name="_Toc10748"/>
      <w:bookmarkStart w:id="86" w:name="_Toc151322098"/>
      <w:bookmarkStart w:id="87" w:name="_Toc142842261"/>
      <w:bookmarkStart w:id="88" w:name="_Toc14766"/>
      <w:bookmarkStart w:id="89" w:name="_Toc7262"/>
      <w:bookmarkStart w:id="90" w:name="_Toc222"/>
      <w:r>
        <w:rPr>
          <w:rFonts w:hint="eastAsia" w:ascii="仿宋" w:hAnsi="仿宋" w:eastAsia="仿宋" w:cs="仿宋"/>
          <w:b/>
          <w:color w:val="000000" w:themeColor="text1"/>
          <w:sz w:val="32"/>
          <w:szCs w:val="32"/>
          <w14:textFill>
            <w14:solidFill>
              <w14:schemeClr w14:val="tx1"/>
            </w14:solidFill>
          </w14:textFill>
        </w:rPr>
        <w:t>（三）一般要求</w:t>
      </w:r>
      <w:bookmarkEnd w:id="84"/>
      <w:bookmarkEnd w:id="85"/>
      <w:bookmarkEnd w:id="86"/>
      <w:bookmarkEnd w:id="87"/>
      <w:bookmarkEnd w:id="88"/>
      <w:bookmarkEnd w:id="89"/>
      <w:bookmarkEnd w:id="90"/>
    </w:p>
    <w:p>
      <w:pPr>
        <w:numPr>
          <w:ilvl w:val="255"/>
          <w:numId w:val="0"/>
        </w:num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cs="仿宋"/>
          <w:sz w:val="32"/>
          <w:szCs w:val="32"/>
        </w:rPr>
        <w:t>化妆品新原料注册人、备案人应对新原料进行全面充分研究，</w:t>
      </w:r>
      <w:r>
        <w:rPr>
          <w:rFonts w:hint="eastAsia" w:ascii="仿宋_GB2312" w:hAnsi="仿宋_GB2312" w:eastAsia="仿宋_GB2312" w:cs="仿宋_GB2312"/>
          <w:bCs/>
          <w:color w:val="000000" w:themeColor="text1"/>
          <w:kern w:val="0"/>
          <w:sz w:val="32"/>
          <w:szCs w:val="32"/>
          <w14:textFill>
            <w14:solidFill>
              <w14:schemeClr w14:val="tx1"/>
            </w14:solidFill>
          </w14:textFill>
        </w:rPr>
        <w:t>根据原料性能和预期用途,</w:t>
      </w:r>
      <w:r>
        <w:rPr>
          <w:rFonts w:hint="eastAsia" w:ascii="仿宋" w:hAnsi="仿宋" w:eastAsia="仿宋" w:cs="仿宋"/>
          <w:sz w:val="32"/>
          <w:szCs w:val="32"/>
        </w:rPr>
        <w:t>明确其管理属性;根据原料的创新程度，明确其管理类别；明确原料的组成特征、来源属性、制备工艺，</w:t>
      </w:r>
      <w:r>
        <w:rPr>
          <w:rFonts w:hint="eastAsia" w:ascii="仿宋" w:hAnsi="仿宋" w:eastAsia="仿宋"/>
          <w:bCs/>
          <w:color w:val="000000" w:themeColor="text1"/>
          <w:kern w:val="0"/>
          <w:sz w:val="32"/>
          <w:szCs w:val="32"/>
          <w14:textFill>
            <w14:solidFill>
              <w14:schemeClr w14:val="tx1"/>
            </w14:solidFill>
          </w14:textFill>
        </w:rPr>
        <w:t>根据新原料的功能、已有安全使用历史、安全食用历史等情况，对新原料开展充分安全评价。</w:t>
      </w:r>
    </w:p>
    <w:p>
      <w:pPr>
        <w:numPr>
          <w:ilvl w:val="255"/>
          <w:numId w:val="0"/>
        </w:numPr>
        <w:adjustRightInd w:val="0"/>
        <w:snapToGrid w:val="0"/>
        <w:spacing w:line="360" w:lineRule="auto"/>
        <w:ind w:firstLine="643"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cs="仿宋"/>
          <w:b/>
          <w:bCs/>
          <w:sz w:val="32"/>
          <w:szCs w:val="32"/>
        </w:rPr>
        <w:t xml:space="preserve">1. </w:t>
      </w:r>
      <w:r>
        <w:rPr>
          <w:rFonts w:hint="eastAsia" w:ascii="仿宋" w:hAnsi="仿宋" w:eastAsia="仿宋"/>
          <w:b/>
          <w:color w:val="000000" w:themeColor="text1"/>
          <w:kern w:val="0"/>
          <w:sz w:val="32"/>
          <w:szCs w:val="32"/>
          <w14:textFill>
            <w14:solidFill>
              <w14:schemeClr w14:val="tx1"/>
            </w14:solidFill>
          </w14:textFill>
        </w:rPr>
        <w:t>国内外首次使用的新原料</w:t>
      </w:r>
    </w:p>
    <w:p>
      <w:pPr>
        <w:numPr>
          <w:ilvl w:val="255"/>
          <w:numId w:val="0"/>
        </w:numPr>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化妆品新原料注册人、备案人</w:t>
      </w:r>
      <w:r>
        <w:rPr>
          <w:rFonts w:hint="eastAsia" w:ascii="仿宋" w:hAnsi="仿宋" w:eastAsia="仿宋"/>
          <w:bCs/>
          <w:kern w:val="0"/>
          <w:sz w:val="32"/>
          <w:szCs w:val="32"/>
          <w:lang w:eastAsia="zh-CN"/>
        </w:rPr>
        <w:t>需</w:t>
      </w:r>
      <w:r>
        <w:rPr>
          <w:rFonts w:hint="eastAsia" w:ascii="仿宋" w:hAnsi="仿宋" w:eastAsia="仿宋"/>
          <w:bCs/>
          <w:kern w:val="0"/>
          <w:sz w:val="32"/>
          <w:szCs w:val="32"/>
        </w:rPr>
        <w:t>按照</w:t>
      </w:r>
      <w:r>
        <w:rPr>
          <w:rFonts w:hint="eastAsia" w:ascii="仿宋" w:hAnsi="仿宋" w:eastAsia="仿宋"/>
          <w:bCs/>
          <w:kern w:val="0"/>
          <w:sz w:val="32"/>
          <w:szCs w:val="32"/>
          <w:lang w:eastAsia="zh-CN"/>
        </w:rPr>
        <w:t>以下内容包括</w:t>
      </w:r>
      <w:r>
        <w:rPr>
          <w:rFonts w:hint="eastAsia" w:ascii="仿宋" w:hAnsi="仿宋" w:eastAsia="仿宋"/>
          <w:bCs/>
          <w:kern w:val="0"/>
          <w:sz w:val="32"/>
          <w:szCs w:val="32"/>
        </w:rPr>
        <w:t>制备工艺、稳定性试验、质量控制标准、功能评价</w:t>
      </w:r>
      <w:r>
        <w:rPr>
          <w:rFonts w:hint="eastAsia" w:ascii="仿宋" w:hAnsi="仿宋" w:eastAsia="仿宋"/>
          <w:bCs/>
          <w:kern w:val="0"/>
          <w:sz w:val="32"/>
          <w:szCs w:val="32"/>
          <w:lang w:eastAsia="zh-CN"/>
        </w:rPr>
        <w:t>、安全评价相关</w:t>
      </w:r>
      <w:r>
        <w:rPr>
          <w:rFonts w:hint="eastAsia" w:ascii="仿宋" w:hAnsi="仿宋" w:eastAsia="仿宋"/>
          <w:bCs/>
          <w:kern w:val="0"/>
          <w:sz w:val="32"/>
          <w:szCs w:val="32"/>
        </w:rPr>
        <w:t>要求开展</w:t>
      </w:r>
      <w:r>
        <w:rPr>
          <w:rFonts w:hint="eastAsia" w:ascii="仿宋" w:hAnsi="仿宋" w:eastAsia="仿宋"/>
          <w:bCs/>
          <w:kern w:val="0"/>
          <w:sz w:val="32"/>
          <w:szCs w:val="32"/>
          <w:lang w:eastAsia="zh-CN"/>
        </w:rPr>
        <w:t>新原料</w:t>
      </w:r>
      <w:r>
        <w:rPr>
          <w:rFonts w:hint="eastAsia" w:ascii="仿宋" w:hAnsi="仿宋" w:eastAsia="仿宋"/>
          <w:bCs/>
          <w:kern w:val="0"/>
          <w:sz w:val="32"/>
          <w:szCs w:val="32"/>
        </w:rPr>
        <w:t>相关研究</w:t>
      </w:r>
      <w:r>
        <w:rPr>
          <w:rFonts w:ascii="仿宋" w:hAnsi="仿宋" w:eastAsia="仿宋"/>
          <w:sz w:val="32"/>
          <w:szCs w:val="32"/>
        </w:rPr>
        <w:t>。</w:t>
      </w:r>
    </w:p>
    <w:p>
      <w:pPr>
        <w:tabs>
          <w:tab w:val="left" w:pos="567"/>
        </w:tabs>
        <w:adjustRightInd w:val="0"/>
        <w:spacing w:line="360" w:lineRule="auto"/>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）制备工艺</w:t>
      </w:r>
    </w:p>
    <w:p>
      <w:pPr>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新原料注册人、备案人应当对新原料制备工艺开展充分研究，</w:t>
      </w:r>
      <w:r>
        <w:rPr>
          <w:rFonts w:hint="eastAsia" w:ascii="Times New Roman" w:hAnsi="Times New Roman" w:eastAsia="仿宋"/>
          <w:sz w:val="32"/>
          <w:szCs w:val="32"/>
        </w:rPr>
        <w:t>明确关键工艺步骤和工艺参数，</w:t>
      </w:r>
      <w:r>
        <w:rPr>
          <w:rFonts w:hint="eastAsia" w:ascii="仿宋" w:hAnsi="仿宋" w:eastAsia="仿宋"/>
          <w:bCs/>
          <w:color w:val="000000" w:themeColor="text1"/>
          <w:kern w:val="0"/>
          <w:sz w:val="32"/>
          <w:szCs w:val="32"/>
          <w14:textFill>
            <w14:solidFill>
              <w14:schemeClr w14:val="tx1"/>
            </w14:solidFill>
          </w14:textFill>
        </w:rPr>
        <w:t>保证不同批次间新原料质量的稳定性；</w:t>
      </w:r>
      <w:r>
        <w:rPr>
          <w:rFonts w:hint="eastAsia" w:ascii="Times New Roman" w:hAnsi="Times New Roman" w:eastAsia="仿宋"/>
          <w:sz w:val="32"/>
          <w:szCs w:val="32"/>
        </w:rPr>
        <w:t>明确生产过程中起始物、中间产物、终产物和可能带入的安全性风险物质的情况及其控制措施。</w:t>
      </w:r>
    </w:p>
    <w:p>
      <w:pPr>
        <w:ind w:firstLine="640" w:firstLineChars="200"/>
        <w:rPr>
          <w:rFonts w:ascii="Times New Roman" w:hAnsi="Times New Roman" w:eastAsia="仿宋"/>
          <w:sz w:val="32"/>
          <w:szCs w:val="32"/>
        </w:rPr>
      </w:pPr>
      <w:r>
        <w:rPr>
          <w:rFonts w:hint="eastAsia" w:ascii="仿宋" w:hAnsi="仿宋" w:eastAsia="仿宋"/>
          <w:bCs/>
          <w:color w:val="000000" w:themeColor="text1"/>
          <w:kern w:val="0"/>
          <w:sz w:val="32"/>
          <w:szCs w:val="32"/>
          <w14:textFill>
            <w14:solidFill>
              <w14:schemeClr w14:val="tx1"/>
            </w14:solidFill>
          </w14:textFill>
        </w:rPr>
        <w:t>新原料注册人、备案人应当确定新原料规模化生产的主要工艺参数和完整工艺流程，</w:t>
      </w:r>
      <w:r>
        <w:rPr>
          <w:rFonts w:ascii="Times New Roman" w:hAnsi="Times New Roman" w:eastAsia="仿宋"/>
          <w:sz w:val="32"/>
          <w:szCs w:val="32"/>
        </w:rPr>
        <w:t>应当结合</w:t>
      </w:r>
      <w:r>
        <w:rPr>
          <w:rFonts w:hint="eastAsia" w:ascii="Times New Roman" w:hAnsi="Times New Roman" w:eastAsia="仿宋"/>
          <w:sz w:val="32"/>
          <w:szCs w:val="32"/>
        </w:rPr>
        <w:t>起始物和制备途径</w:t>
      </w:r>
      <w:r>
        <w:rPr>
          <w:rFonts w:ascii="Times New Roman" w:hAnsi="Times New Roman" w:eastAsia="仿宋"/>
          <w:sz w:val="32"/>
          <w:szCs w:val="32"/>
        </w:rPr>
        <w:t>特征，对原料生产</w:t>
      </w:r>
      <w:r>
        <w:rPr>
          <w:rFonts w:hint="eastAsia" w:ascii="Times New Roman" w:hAnsi="Times New Roman" w:eastAsia="仿宋"/>
          <w:sz w:val="32"/>
          <w:szCs w:val="32"/>
        </w:rPr>
        <w:t>或制备</w:t>
      </w:r>
      <w:r>
        <w:rPr>
          <w:rFonts w:ascii="Times New Roman" w:hAnsi="Times New Roman" w:eastAsia="仿宋"/>
          <w:sz w:val="32"/>
          <w:szCs w:val="32"/>
        </w:rPr>
        <w:t>的主要工艺步骤、工艺参数等进行</w:t>
      </w:r>
      <w:r>
        <w:rPr>
          <w:rFonts w:hint="eastAsia" w:ascii="Times New Roman" w:hAnsi="Times New Roman" w:eastAsia="仿宋"/>
          <w:sz w:val="32"/>
          <w:szCs w:val="32"/>
        </w:rPr>
        <w:t>明确</w:t>
      </w:r>
      <w:r>
        <w:rPr>
          <w:rFonts w:ascii="Times New Roman" w:hAnsi="Times New Roman" w:eastAsia="仿宋"/>
          <w:sz w:val="32"/>
          <w:szCs w:val="32"/>
        </w:rPr>
        <w:t>，</w:t>
      </w:r>
      <w:r>
        <w:rPr>
          <w:rFonts w:hint="eastAsia" w:ascii="Times New Roman" w:hAnsi="Times New Roman" w:eastAsia="仿宋"/>
          <w:sz w:val="32"/>
          <w:szCs w:val="32"/>
        </w:rPr>
        <w:t>确定所有涉及物质包括中间产物、终产物等的具体名称。新原料生产或者制备工艺应当合理、完整，应当明确可能带入的安全性风险物质的情况及其控制措施。</w:t>
      </w:r>
    </w:p>
    <w:p>
      <w:pPr>
        <w:tabs>
          <w:tab w:val="left" w:pos="567"/>
        </w:tabs>
        <w:adjustRightInd w:val="0"/>
        <w:spacing w:line="360" w:lineRule="auto"/>
        <w:ind w:firstLine="643" w:firstLineChars="200"/>
        <w:rPr>
          <w:rFonts w:ascii="仿宋" w:hAnsi="仿宋"/>
          <w:b/>
        </w:rPr>
      </w:pPr>
      <w:r>
        <w:rPr>
          <w:rFonts w:hint="eastAsia" w:ascii="仿宋" w:hAnsi="仿宋" w:eastAsia="仿宋"/>
          <w:b/>
          <w:sz w:val="32"/>
          <w:szCs w:val="32"/>
        </w:rPr>
        <w:t>（2</w:t>
      </w:r>
      <w:r>
        <w:rPr>
          <w:rFonts w:ascii="仿宋" w:hAnsi="仿宋" w:eastAsia="仿宋"/>
          <w:b/>
          <w:sz w:val="32"/>
          <w:szCs w:val="32"/>
        </w:rPr>
        <w:t>）稳定性</w:t>
      </w:r>
      <w:r>
        <w:rPr>
          <w:rFonts w:hint="eastAsia" w:ascii="仿宋" w:hAnsi="仿宋" w:eastAsia="仿宋"/>
          <w:b/>
          <w:sz w:val="32"/>
          <w:szCs w:val="32"/>
        </w:rPr>
        <w:t>试验</w:t>
      </w:r>
    </w:p>
    <w:p>
      <w:pPr>
        <w:tabs>
          <w:tab w:val="left" w:pos="567"/>
        </w:tabs>
        <w:adjustRightInd w:val="0"/>
        <w:spacing w:line="360" w:lineRule="auto"/>
        <w:ind w:firstLine="640" w:firstLineChars="200"/>
        <w:rPr>
          <w:rFonts w:ascii="仿宋" w:hAnsi="仿宋" w:eastAsia="仿宋"/>
          <w:b/>
          <w:bCs/>
          <w:sz w:val="32"/>
          <w:szCs w:val="32"/>
        </w:rPr>
      </w:pPr>
      <w:r>
        <w:rPr>
          <w:rFonts w:ascii="仿宋" w:hAnsi="仿宋" w:eastAsia="仿宋"/>
          <w:sz w:val="32"/>
          <w:szCs w:val="32"/>
        </w:rPr>
        <w:t>稳定性试验一般包括破坏性试验、加速试验</w:t>
      </w:r>
      <w:r>
        <w:rPr>
          <w:rFonts w:hint="eastAsia" w:ascii="仿宋" w:hAnsi="仿宋" w:eastAsia="仿宋"/>
          <w:sz w:val="32"/>
          <w:szCs w:val="32"/>
        </w:rPr>
        <w:t>和</w:t>
      </w:r>
      <w:r>
        <w:rPr>
          <w:rFonts w:ascii="仿宋" w:hAnsi="仿宋" w:eastAsia="仿宋"/>
          <w:sz w:val="32"/>
          <w:szCs w:val="32"/>
        </w:rPr>
        <w:t>长期试验。</w:t>
      </w:r>
      <w:r>
        <w:rPr>
          <w:rFonts w:hint="eastAsia" w:ascii="仿宋" w:hAnsi="仿宋" w:eastAsia="仿宋"/>
          <w:color w:val="000000" w:themeColor="text1"/>
          <w:kern w:val="0"/>
          <w:sz w:val="32"/>
          <w:szCs w:val="32"/>
          <w14:textFill>
            <w14:solidFill>
              <w14:schemeClr w14:val="tx1"/>
            </w14:solidFill>
          </w14:textFill>
        </w:rPr>
        <w:t>新原料注册人、备案人应当对同一制备工艺条件下的</w:t>
      </w:r>
      <w:r>
        <w:rPr>
          <w:rFonts w:ascii="仿宋" w:hAnsi="仿宋" w:eastAsia="仿宋"/>
          <w:color w:val="000000" w:themeColor="text1"/>
          <w:kern w:val="0"/>
          <w:sz w:val="32"/>
          <w:szCs w:val="32"/>
          <w14:textFill>
            <w14:solidFill>
              <w14:schemeClr w14:val="tx1"/>
            </w14:solidFill>
          </w14:textFill>
        </w:rPr>
        <w:t>3</w:t>
      </w:r>
      <w:r>
        <w:rPr>
          <w:rFonts w:hint="eastAsia" w:ascii="仿宋" w:hAnsi="仿宋" w:eastAsia="仿宋"/>
          <w:color w:val="000000" w:themeColor="text1"/>
          <w:kern w:val="0"/>
          <w:sz w:val="32"/>
          <w:szCs w:val="32"/>
          <w14:textFill>
            <w14:solidFill>
              <w14:schemeClr w14:val="tx1"/>
            </w14:solidFill>
          </w14:textFill>
        </w:rPr>
        <w:t>批规模化生产的新原料进行稳定性试验研究；应当</w:t>
      </w:r>
      <w:r>
        <w:rPr>
          <w:rFonts w:ascii="仿宋" w:hAnsi="仿宋" w:eastAsia="仿宋"/>
          <w:sz w:val="32"/>
          <w:szCs w:val="32"/>
        </w:rPr>
        <w:t>根据新原料的特性，选择稳定性试验数据的类型，并根据稳定性试验结果确定</w:t>
      </w:r>
      <w:r>
        <w:rPr>
          <w:rFonts w:hint="eastAsia" w:ascii="仿宋" w:hAnsi="仿宋" w:eastAsia="仿宋"/>
          <w:sz w:val="32"/>
          <w:szCs w:val="32"/>
        </w:rPr>
        <w:t>新</w:t>
      </w:r>
      <w:r>
        <w:rPr>
          <w:rFonts w:ascii="仿宋" w:hAnsi="仿宋" w:eastAsia="仿宋"/>
          <w:sz w:val="32"/>
          <w:szCs w:val="32"/>
        </w:rPr>
        <w:t>原料的贮存条件和使用期限</w:t>
      </w:r>
      <w:r>
        <w:rPr>
          <w:rFonts w:hint="eastAsia" w:ascii="仿宋" w:hAnsi="仿宋" w:eastAsia="仿宋"/>
          <w:sz w:val="32"/>
          <w:szCs w:val="32"/>
        </w:rPr>
        <w:t>。</w:t>
      </w:r>
    </w:p>
    <w:p>
      <w:pPr>
        <w:tabs>
          <w:tab w:val="left" w:pos="567"/>
        </w:tabs>
        <w:adjustRightInd w:val="0"/>
        <w:spacing w:line="360" w:lineRule="auto"/>
        <w:ind w:firstLine="640" w:firstLineChars="200"/>
        <w:rPr>
          <w:rFonts w:ascii="仿宋" w:hAnsi="仿宋" w:eastAsia="仿宋"/>
          <w:sz w:val="32"/>
          <w:szCs w:val="32"/>
        </w:rPr>
      </w:pPr>
      <w:r>
        <w:rPr>
          <w:rFonts w:hint="eastAsia" w:ascii="仿宋" w:hAnsi="仿宋" w:eastAsia="仿宋"/>
          <w:color w:val="000000" w:themeColor="text1"/>
          <w:kern w:val="0"/>
          <w:sz w:val="32"/>
          <w:szCs w:val="32"/>
          <w14:textFill>
            <w14:solidFill>
              <w14:schemeClr w14:val="tx1"/>
            </w14:solidFill>
          </w14:textFill>
        </w:rPr>
        <w:t>新原料注册人、备案人应当以质量控制指标作为稳定性检测指标，考察新原料的稳定性。至少采用</w:t>
      </w:r>
      <w:r>
        <w:rPr>
          <w:rFonts w:hint="eastAsia" w:ascii="仿宋" w:hAnsi="仿宋" w:eastAsia="仿宋"/>
          <w:sz w:val="32"/>
          <w:szCs w:val="32"/>
        </w:rPr>
        <w:t>1批新原料进行</w:t>
      </w:r>
      <w:r>
        <w:rPr>
          <w:rFonts w:ascii="仿宋" w:hAnsi="仿宋" w:eastAsia="仿宋"/>
          <w:sz w:val="32"/>
          <w:szCs w:val="32"/>
        </w:rPr>
        <w:t>破坏性试验</w:t>
      </w:r>
      <w:r>
        <w:rPr>
          <w:rFonts w:hint="eastAsia" w:ascii="仿宋" w:hAnsi="仿宋" w:eastAsia="仿宋"/>
          <w:sz w:val="32"/>
          <w:szCs w:val="32"/>
        </w:rPr>
        <w:t>，至少采用3批</w:t>
      </w:r>
      <w:r>
        <w:rPr>
          <w:rFonts w:hint="eastAsia" w:ascii="仿宋" w:hAnsi="仿宋" w:eastAsia="仿宋"/>
          <w:color w:val="000000" w:themeColor="text1"/>
          <w:kern w:val="0"/>
          <w:sz w:val="32"/>
          <w:szCs w:val="32"/>
          <w14:textFill>
            <w14:solidFill>
              <w14:schemeClr w14:val="tx1"/>
            </w14:solidFill>
          </w14:textFill>
        </w:rPr>
        <w:t>规模化生产的新原料</w:t>
      </w:r>
      <w:r>
        <w:rPr>
          <w:rFonts w:hint="eastAsia" w:ascii="仿宋" w:hAnsi="仿宋" w:eastAsia="仿宋"/>
          <w:sz w:val="32"/>
          <w:szCs w:val="32"/>
        </w:rPr>
        <w:t>进行加速和长期稳定性试验。</w:t>
      </w:r>
    </w:p>
    <w:p>
      <w:pPr>
        <w:ind w:firstLine="643" w:firstLineChars="200"/>
        <w:rPr>
          <w:rFonts w:ascii="Times New Roman" w:hAnsi="Times New Roman" w:eastAsia="仿宋"/>
          <w:b/>
          <w:sz w:val="32"/>
          <w:szCs w:val="32"/>
        </w:rPr>
      </w:pPr>
      <w:r>
        <w:rPr>
          <w:rFonts w:hint="eastAsia" w:ascii="Times New Roman" w:hAnsi="Times New Roman" w:eastAsia="仿宋"/>
          <w:b/>
          <w:sz w:val="32"/>
          <w:szCs w:val="32"/>
        </w:rPr>
        <w:t>（3）质量控制</w:t>
      </w:r>
    </w:p>
    <w:p>
      <w:pPr>
        <w:ind w:firstLine="640" w:firstLineChars="200"/>
        <w:rPr>
          <w:rFonts w:ascii="仿宋" w:hAnsi="仿宋" w:eastAsia="仿宋"/>
          <w:sz w:val="32"/>
          <w:szCs w:val="32"/>
        </w:rPr>
      </w:pPr>
      <w:r>
        <w:rPr>
          <w:rFonts w:hint="eastAsia" w:ascii="仿宋" w:hAnsi="仿宋" w:eastAsia="仿宋"/>
          <w:sz w:val="32"/>
          <w:szCs w:val="32"/>
        </w:rPr>
        <w:t>新原料质量控制指标是反映新原料品质的重要内容，包括但不限于</w:t>
      </w:r>
      <w:r>
        <w:rPr>
          <w:rFonts w:ascii="仿宋" w:hAnsi="仿宋" w:eastAsia="仿宋"/>
          <w:sz w:val="32"/>
          <w:szCs w:val="32"/>
        </w:rPr>
        <w:t>原料性状</w:t>
      </w:r>
      <w:r>
        <w:rPr>
          <w:rFonts w:hint="eastAsia" w:ascii="仿宋" w:hAnsi="仿宋" w:eastAsia="仿宋"/>
          <w:sz w:val="32"/>
          <w:szCs w:val="32"/>
        </w:rPr>
        <w:t>、</w:t>
      </w:r>
      <w:r>
        <w:rPr>
          <w:rFonts w:ascii="仿宋" w:hAnsi="仿宋" w:eastAsia="仿宋"/>
          <w:sz w:val="32"/>
          <w:szCs w:val="32"/>
        </w:rPr>
        <w:t>理化性质</w:t>
      </w:r>
      <w:r>
        <w:rPr>
          <w:rFonts w:hint="eastAsia" w:ascii="仿宋" w:hAnsi="仿宋" w:eastAsia="仿宋"/>
          <w:sz w:val="32"/>
          <w:szCs w:val="32"/>
        </w:rPr>
        <w:t>、</w:t>
      </w:r>
      <w:bookmarkStart w:id="91" w:name="_Hlk65854297"/>
      <w:r>
        <w:rPr>
          <w:rFonts w:ascii="仿宋" w:hAnsi="仿宋" w:eastAsia="仿宋"/>
          <w:sz w:val="32"/>
          <w:szCs w:val="32"/>
        </w:rPr>
        <w:t>定性鉴别方法</w:t>
      </w:r>
      <w:bookmarkEnd w:id="91"/>
      <w:r>
        <w:rPr>
          <w:rFonts w:hint="eastAsia" w:ascii="仿宋" w:hAnsi="仿宋" w:eastAsia="仿宋"/>
          <w:sz w:val="32"/>
          <w:szCs w:val="32"/>
        </w:rPr>
        <w:t>、</w:t>
      </w:r>
      <w:bookmarkStart w:id="92" w:name="_Hlk67335237"/>
      <w:r>
        <w:rPr>
          <w:rFonts w:ascii="仿宋" w:hAnsi="仿宋" w:eastAsia="仿宋"/>
          <w:sz w:val="32"/>
          <w:szCs w:val="32"/>
        </w:rPr>
        <w:t>原料纯度控制指标</w:t>
      </w:r>
      <w:bookmarkEnd w:id="92"/>
      <w:r>
        <w:rPr>
          <w:rFonts w:hint="eastAsia" w:ascii="仿宋" w:hAnsi="仿宋" w:eastAsia="仿宋"/>
          <w:sz w:val="32"/>
          <w:szCs w:val="32"/>
        </w:rPr>
        <w:t>等；</w:t>
      </w:r>
      <w:r>
        <w:rPr>
          <w:rFonts w:ascii="仿宋" w:hAnsi="仿宋" w:eastAsia="仿宋"/>
          <w:sz w:val="32"/>
          <w:szCs w:val="32"/>
        </w:rPr>
        <w:t>在原料质量</w:t>
      </w:r>
      <w:r>
        <w:rPr>
          <w:rFonts w:hint="eastAsia" w:ascii="仿宋" w:hAnsi="仿宋" w:eastAsia="仿宋"/>
          <w:sz w:val="32"/>
          <w:szCs w:val="32"/>
        </w:rPr>
        <w:t>标准</w:t>
      </w:r>
      <w:r>
        <w:rPr>
          <w:rFonts w:ascii="仿宋" w:hAnsi="仿宋" w:eastAsia="仿宋"/>
          <w:sz w:val="32"/>
          <w:szCs w:val="32"/>
        </w:rPr>
        <w:t>中</w:t>
      </w:r>
      <w:r>
        <w:rPr>
          <w:rFonts w:hint="eastAsia" w:ascii="仿宋" w:hAnsi="仿宋" w:eastAsia="仿宋"/>
          <w:sz w:val="32"/>
          <w:szCs w:val="32"/>
        </w:rPr>
        <w:t>还应当</w:t>
      </w:r>
      <w:r>
        <w:rPr>
          <w:rFonts w:ascii="仿宋" w:hAnsi="仿宋" w:eastAsia="仿宋"/>
          <w:sz w:val="32"/>
          <w:szCs w:val="32"/>
        </w:rPr>
        <w:t>设定适当的质量安全限值指标，如微生物、重金属、有害物质等控制指标</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新原料注册人、备案人应当对新原料的质量控制标准开展研究，设置合理的控制指标，保证其质量可控。</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理化</w:t>
      </w:r>
      <w:r>
        <w:rPr>
          <w:rFonts w:hint="eastAsia" w:ascii="仿宋" w:hAnsi="仿宋" w:eastAsia="仿宋"/>
          <w:sz w:val="32"/>
          <w:szCs w:val="32"/>
        </w:rPr>
        <w:t>性质</w:t>
      </w:r>
    </w:p>
    <w:p>
      <w:pPr>
        <w:ind w:firstLine="640" w:firstLineChars="200"/>
        <w:rPr>
          <w:rFonts w:ascii="仿宋" w:hAnsi="仿宋" w:eastAsia="仿宋"/>
          <w:sz w:val="32"/>
          <w:szCs w:val="32"/>
        </w:rPr>
      </w:pPr>
      <w:r>
        <w:rPr>
          <w:rFonts w:ascii="仿宋" w:hAnsi="仿宋" w:eastAsia="仿宋"/>
          <w:sz w:val="32"/>
          <w:szCs w:val="32"/>
        </w:rPr>
        <w:t>应</w:t>
      </w:r>
      <w:r>
        <w:rPr>
          <w:rFonts w:hint="eastAsia" w:ascii="仿宋" w:hAnsi="仿宋" w:eastAsia="仿宋"/>
          <w:sz w:val="32"/>
          <w:szCs w:val="32"/>
        </w:rPr>
        <w:t>当</w:t>
      </w:r>
      <w:r>
        <w:rPr>
          <w:rFonts w:ascii="仿宋" w:hAnsi="仿宋" w:eastAsia="仿宋"/>
          <w:sz w:val="32"/>
          <w:szCs w:val="32"/>
        </w:rPr>
        <w:t>根据</w:t>
      </w:r>
      <w:r>
        <w:rPr>
          <w:rFonts w:hint="eastAsia" w:ascii="仿宋" w:hAnsi="仿宋" w:eastAsia="仿宋"/>
          <w:sz w:val="32"/>
          <w:szCs w:val="32"/>
        </w:rPr>
        <w:t>新原料的</w:t>
      </w:r>
      <w:r>
        <w:rPr>
          <w:rFonts w:ascii="仿宋" w:hAnsi="仿宋" w:eastAsia="仿宋"/>
          <w:sz w:val="32"/>
          <w:szCs w:val="32"/>
        </w:rPr>
        <w:t>特点</w:t>
      </w:r>
      <w:r>
        <w:rPr>
          <w:rFonts w:hint="eastAsia" w:ascii="仿宋" w:hAnsi="仿宋" w:eastAsia="仿宋"/>
          <w:sz w:val="32"/>
          <w:szCs w:val="32"/>
        </w:rPr>
        <w:t>研究</w:t>
      </w:r>
      <w:r>
        <w:rPr>
          <w:rFonts w:ascii="仿宋" w:hAnsi="仿宋" w:eastAsia="仿宋"/>
          <w:sz w:val="32"/>
          <w:szCs w:val="32"/>
        </w:rPr>
        <w:t>设定</w:t>
      </w:r>
      <w:r>
        <w:rPr>
          <w:rFonts w:hint="eastAsia" w:ascii="仿宋" w:hAnsi="仿宋" w:eastAsia="仿宋"/>
          <w:sz w:val="32"/>
          <w:szCs w:val="32"/>
        </w:rPr>
        <w:t>科学合理</w:t>
      </w:r>
      <w:r>
        <w:rPr>
          <w:rFonts w:ascii="仿宋" w:hAnsi="仿宋" w:eastAsia="仿宋"/>
          <w:sz w:val="32"/>
          <w:szCs w:val="32"/>
        </w:rPr>
        <w:t>的理化指标，</w:t>
      </w:r>
      <w:r>
        <w:rPr>
          <w:rFonts w:hint="eastAsia" w:ascii="仿宋" w:hAnsi="仿宋" w:eastAsia="仿宋"/>
          <w:sz w:val="32"/>
          <w:szCs w:val="32"/>
        </w:rPr>
        <w:t>并明确</w:t>
      </w:r>
      <w:r>
        <w:rPr>
          <w:rFonts w:ascii="仿宋" w:hAnsi="仿宋" w:eastAsia="仿宋"/>
          <w:sz w:val="32"/>
          <w:szCs w:val="32"/>
        </w:rPr>
        <w:t>指标控制范围</w:t>
      </w:r>
      <w:r>
        <w:rPr>
          <w:rFonts w:hint="eastAsia" w:ascii="仿宋" w:hAnsi="仿宋" w:eastAsia="仿宋"/>
          <w:sz w:val="32"/>
          <w:szCs w:val="32"/>
        </w:rPr>
        <w:t>和</w:t>
      </w:r>
      <w:r>
        <w:rPr>
          <w:rFonts w:ascii="仿宋" w:hAnsi="仿宋" w:eastAsia="仿宋"/>
          <w:sz w:val="32"/>
          <w:szCs w:val="32"/>
        </w:rPr>
        <w:t>检验方法。</w:t>
      </w:r>
    </w:p>
    <w:p>
      <w:pPr>
        <w:ind w:firstLine="640" w:firstLineChars="200"/>
        <w:rPr>
          <w:rFonts w:ascii="仿宋" w:hAnsi="仿宋" w:eastAsia="仿宋"/>
          <w:b/>
          <w:bCs/>
          <w:sz w:val="32"/>
          <w:szCs w:val="32"/>
        </w:rPr>
      </w:pPr>
      <w:r>
        <w:rPr>
          <w:rFonts w:hint="eastAsia" w:ascii="仿宋" w:hAnsi="仿宋" w:eastAsia="仿宋"/>
          <w:sz w:val="32"/>
          <w:szCs w:val="32"/>
        </w:rPr>
        <w:t>2）鉴别方法</w:t>
      </w:r>
    </w:p>
    <w:p>
      <w:pPr>
        <w:ind w:firstLine="640" w:firstLineChars="200"/>
        <w:rPr>
          <w:rFonts w:eastAsia="仿宋_GB2312"/>
          <w:sz w:val="32"/>
          <w:szCs w:val="32"/>
        </w:rPr>
      </w:pPr>
      <w:r>
        <w:rPr>
          <w:rFonts w:hint="eastAsia" w:ascii="仿宋" w:hAnsi="仿宋" w:eastAsia="仿宋"/>
          <w:sz w:val="32"/>
          <w:szCs w:val="32"/>
        </w:rPr>
        <w:t>应当根据原料的特点，研究设定科学合理的鉴别方法，如光谱法、色谱法、化学法等。定性鉴别指标应能体现原料的特征，</w:t>
      </w:r>
      <w:r>
        <w:rPr>
          <w:rFonts w:hint="eastAsia" w:eastAsia="仿宋_GB2312"/>
          <w:sz w:val="32"/>
          <w:szCs w:val="32"/>
        </w:rPr>
        <w:t>应具有一定的专属性。</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）控制指标及检验方法</w:t>
      </w:r>
    </w:p>
    <w:p>
      <w:pPr>
        <w:spacing w:line="360" w:lineRule="auto"/>
        <w:ind w:firstLine="578"/>
        <w:rPr>
          <w:rFonts w:ascii="仿宋" w:hAnsi="仿宋" w:eastAsia="仿宋"/>
          <w:sz w:val="32"/>
          <w:szCs w:val="32"/>
        </w:rPr>
      </w:pPr>
      <w:r>
        <w:rPr>
          <w:rFonts w:hint="eastAsia" w:ascii="仿宋" w:hAnsi="仿宋" w:eastAsia="仿宋"/>
          <w:sz w:val="32"/>
          <w:szCs w:val="32"/>
        </w:rPr>
        <w:t>应当对单一组分新</w:t>
      </w:r>
      <w:r>
        <w:rPr>
          <w:rFonts w:ascii="仿宋" w:hAnsi="仿宋" w:eastAsia="仿宋"/>
          <w:sz w:val="32"/>
          <w:szCs w:val="32"/>
        </w:rPr>
        <w:t>原料</w:t>
      </w:r>
      <w:r>
        <w:rPr>
          <w:rFonts w:hint="eastAsia" w:ascii="仿宋" w:hAnsi="仿宋" w:eastAsia="仿宋"/>
          <w:sz w:val="32"/>
          <w:szCs w:val="32"/>
        </w:rPr>
        <w:t>设定纯度控制指标，明确</w:t>
      </w:r>
      <w:r>
        <w:rPr>
          <w:rFonts w:ascii="仿宋" w:hAnsi="仿宋" w:eastAsia="仿宋"/>
          <w:sz w:val="32"/>
          <w:szCs w:val="32"/>
        </w:rPr>
        <w:t>原料的纯度或含量、杂质种类以及各自的控制指标及其检验方法</w:t>
      </w:r>
      <w:r>
        <w:rPr>
          <w:rFonts w:hint="eastAsia" w:ascii="仿宋" w:hAnsi="仿宋" w:eastAsia="仿宋"/>
          <w:sz w:val="32"/>
          <w:szCs w:val="32"/>
        </w:rPr>
        <w:t>；对非单一组分新原料，设定主要成分或特征性成分的定量控制指标或其他质量控制指标，并明确其检验方法。</w:t>
      </w:r>
    </w:p>
    <w:p>
      <w:pPr>
        <w:spacing w:line="360" w:lineRule="auto"/>
        <w:ind w:firstLine="643"/>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（4</w:t>
      </w:r>
      <w:r>
        <w:rPr>
          <w:rFonts w:ascii="仿宋" w:hAnsi="仿宋" w:eastAsia="仿宋"/>
          <w:b/>
          <w:color w:val="000000" w:themeColor="text1"/>
          <w:kern w:val="0"/>
          <w:sz w:val="32"/>
          <w:szCs w:val="32"/>
          <w14:textFill>
            <w14:solidFill>
              <w14:schemeClr w14:val="tx1"/>
            </w14:solidFill>
          </w14:textFill>
        </w:rPr>
        <w:t>）</w:t>
      </w:r>
      <w:r>
        <w:rPr>
          <w:rFonts w:hint="eastAsia" w:ascii="仿宋" w:hAnsi="仿宋" w:eastAsia="仿宋"/>
          <w:b/>
          <w:color w:val="000000" w:themeColor="text1"/>
          <w:kern w:val="0"/>
          <w:sz w:val="32"/>
          <w:szCs w:val="32"/>
          <w14:textFill>
            <w14:solidFill>
              <w14:schemeClr w14:val="tx1"/>
            </w14:solidFill>
          </w14:textFill>
        </w:rPr>
        <w:t>功能评价</w:t>
      </w:r>
    </w:p>
    <w:p>
      <w:pPr>
        <w:tabs>
          <w:tab w:val="left" w:pos="567"/>
        </w:tabs>
        <w:adjustRightIn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新原料注册人、备案人应当对新原料已知或应有的功能进行充分研究，依据相关研究结果确定新原料的实际功能，明确新原料的使用目的。对同时具有多种功能的新原料，</w:t>
      </w:r>
      <w:r>
        <w:rPr>
          <w:rFonts w:ascii="仿宋" w:hAnsi="仿宋" w:eastAsia="仿宋"/>
          <w:bCs/>
          <w:color w:val="000000" w:themeColor="text1"/>
          <w:kern w:val="0"/>
          <w:sz w:val="32"/>
          <w:szCs w:val="32"/>
          <w14:textFill>
            <w14:solidFill>
              <w14:schemeClr w14:val="tx1"/>
            </w14:solidFill>
          </w14:textFill>
        </w:rPr>
        <w:t>在</w:t>
      </w:r>
      <w:r>
        <w:rPr>
          <w:rFonts w:hint="eastAsia" w:ascii="仿宋" w:hAnsi="仿宋" w:eastAsia="仿宋"/>
          <w:kern w:val="0"/>
          <w:sz w:val="32"/>
          <w:szCs w:val="32"/>
        </w:rPr>
        <w:t>新原料具有功能的</w:t>
      </w:r>
      <w:r>
        <w:rPr>
          <w:rFonts w:ascii="仿宋" w:hAnsi="仿宋" w:eastAsia="仿宋"/>
          <w:bCs/>
          <w:color w:val="000000" w:themeColor="text1"/>
          <w:kern w:val="0"/>
          <w:sz w:val="32"/>
          <w:szCs w:val="32"/>
          <w14:textFill>
            <w14:solidFill>
              <w14:schemeClr w14:val="tx1"/>
            </w14:solidFill>
          </w14:textFill>
        </w:rPr>
        <w:t>起效量和安全使用量范围内，</w:t>
      </w:r>
      <w:r>
        <w:rPr>
          <w:rFonts w:hint="eastAsia" w:ascii="Times New Roman" w:hAnsi="Times New Roman" w:eastAsia="仿宋"/>
          <w:sz w:val="32"/>
          <w:szCs w:val="32"/>
        </w:rPr>
        <w:t>只要其中某一功能属于</w:t>
      </w:r>
      <w:r>
        <w:rPr>
          <w:rFonts w:hint="eastAsia" w:eastAsia="仿宋_GB2312"/>
          <w:sz w:val="32"/>
          <w:szCs w:val="32"/>
        </w:rPr>
        <w:t>防腐、防晒、着色、染发、祛斑美白、防脱发、祛痘、抗皱（物理性抗皱除外）、去屑、除臭功能之一的，</w:t>
      </w:r>
      <w:r>
        <w:rPr>
          <w:rFonts w:hint="eastAsia" w:ascii="Times New Roman" w:hAnsi="Times New Roman" w:eastAsia="仿宋"/>
          <w:sz w:val="32"/>
          <w:szCs w:val="32"/>
        </w:rPr>
        <w:t>应按照上述功能的要求开展功能评价和安全评估，并按照相关要求申请注册或进行备案。</w:t>
      </w:r>
    </w:p>
    <w:p>
      <w:pPr>
        <w:tabs>
          <w:tab w:val="left" w:pos="567"/>
        </w:tabs>
        <w:adjustRightInd w:val="0"/>
        <w:spacing w:line="360" w:lineRule="auto"/>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对</w:t>
      </w:r>
      <w:r>
        <w:rPr>
          <w:rFonts w:ascii="仿宋_GB2312" w:hAnsi="仿宋_GB2312" w:eastAsia="仿宋_GB2312" w:cs="仿宋_GB2312"/>
          <w:bCs/>
          <w:color w:val="000000" w:themeColor="text1"/>
          <w:kern w:val="0"/>
          <w:sz w:val="32"/>
          <w:szCs w:val="32"/>
          <w14:textFill>
            <w14:solidFill>
              <w14:schemeClr w14:val="tx1"/>
            </w14:solidFill>
          </w14:textFill>
        </w:rPr>
        <w:t>作用于化妆品产品的</w:t>
      </w:r>
      <w:r>
        <w:rPr>
          <w:rFonts w:hint="eastAsia" w:ascii="仿宋_GB2312" w:hAnsi="仿宋_GB2312" w:eastAsia="仿宋_GB2312" w:cs="仿宋_GB2312"/>
          <w:bCs/>
          <w:color w:val="000000" w:themeColor="text1"/>
          <w:kern w:val="0"/>
          <w:sz w:val="32"/>
          <w:szCs w:val="32"/>
          <w14:textFill>
            <w14:solidFill>
              <w14:schemeClr w14:val="tx1"/>
            </w14:solidFill>
          </w14:textFill>
        </w:rPr>
        <w:t>新</w:t>
      </w:r>
      <w:r>
        <w:rPr>
          <w:rFonts w:ascii="仿宋_GB2312" w:hAnsi="仿宋_GB2312" w:eastAsia="仿宋_GB2312" w:cs="仿宋_GB2312"/>
          <w:bCs/>
          <w:color w:val="000000" w:themeColor="text1"/>
          <w:kern w:val="0"/>
          <w:sz w:val="32"/>
          <w:szCs w:val="32"/>
          <w14:textFill>
            <w14:solidFill>
              <w14:schemeClr w14:val="tx1"/>
            </w14:solidFill>
          </w14:textFill>
        </w:rPr>
        <w:t>原料</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ascii="仿宋_GB2312" w:hAnsi="仿宋_GB2312" w:eastAsia="仿宋_GB2312" w:cs="仿宋_GB2312"/>
          <w:bCs/>
          <w:color w:val="000000" w:themeColor="text1"/>
          <w:kern w:val="0"/>
          <w:sz w:val="32"/>
          <w:szCs w:val="32"/>
          <w14:textFill>
            <w14:solidFill>
              <w14:schemeClr w14:val="tx1"/>
            </w14:solidFill>
          </w14:textFill>
        </w:rPr>
        <w:t>结合产品配方</w:t>
      </w:r>
      <w:r>
        <w:rPr>
          <w:rFonts w:hint="eastAsia" w:ascii="仿宋_GB2312" w:hAnsi="仿宋_GB2312" w:eastAsia="仿宋_GB2312" w:cs="仿宋_GB2312"/>
          <w:bCs/>
          <w:color w:val="000000" w:themeColor="text1"/>
          <w:kern w:val="0"/>
          <w:sz w:val="32"/>
          <w:szCs w:val="32"/>
          <w14:textFill>
            <w14:solidFill>
              <w14:schemeClr w14:val="tx1"/>
            </w14:solidFill>
          </w14:textFill>
        </w:rPr>
        <w:t>、剂型</w:t>
      </w:r>
      <w:r>
        <w:rPr>
          <w:rFonts w:ascii="仿宋_GB2312" w:hAnsi="仿宋_GB2312" w:eastAsia="仿宋_GB2312" w:cs="仿宋_GB2312"/>
          <w:bCs/>
          <w:color w:val="000000" w:themeColor="text1"/>
          <w:kern w:val="0"/>
          <w:sz w:val="32"/>
          <w:szCs w:val="32"/>
          <w14:textFill>
            <w14:solidFill>
              <w14:schemeClr w14:val="tx1"/>
            </w14:solidFill>
          </w14:textFill>
        </w:rPr>
        <w:t>开展</w:t>
      </w:r>
      <w:r>
        <w:rPr>
          <w:rFonts w:hint="eastAsia" w:ascii="仿宋_GB2312" w:hAnsi="仿宋_GB2312" w:eastAsia="仿宋_GB2312" w:cs="仿宋_GB2312"/>
          <w:bCs/>
          <w:color w:val="000000" w:themeColor="text1"/>
          <w:kern w:val="0"/>
          <w:sz w:val="32"/>
          <w:szCs w:val="32"/>
          <w14:textFill>
            <w14:solidFill>
              <w14:schemeClr w14:val="tx1"/>
            </w14:solidFill>
          </w14:textFill>
        </w:rPr>
        <w:t>原料对产品的作用机理</w:t>
      </w:r>
      <w:r>
        <w:rPr>
          <w:rFonts w:ascii="仿宋_GB2312" w:hAnsi="仿宋_GB2312" w:eastAsia="仿宋_GB2312" w:cs="仿宋_GB2312"/>
          <w:bCs/>
          <w:color w:val="000000" w:themeColor="text1"/>
          <w:kern w:val="0"/>
          <w:sz w:val="32"/>
          <w:szCs w:val="32"/>
          <w14:textFill>
            <w14:solidFill>
              <w14:schemeClr w14:val="tx1"/>
            </w14:solidFill>
          </w14:textFill>
        </w:rPr>
        <w:t>研究，明确其在产品的主要作用和使用量</w:t>
      </w:r>
      <w:r>
        <w:rPr>
          <w:rFonts w:hint="eastAsia" w:ascii="仿宋_GB2312" w:hAnsi="仿宋_GB2312" w:eastAsia="仿宋_GB2312" w:cs="仿宋_GB2312"/>
          <w:bCs/>
          <w:color w:val="000000" w:themeColor="text1"/>
          <w:kern w:val="0"/>
          <w:sz w:val="32"/>
          <w:szCs w:val="32"/>
          <w14:textFill>
            <w14:solidFill>
              <w14:schemeClr w14:val="tx1"/>
            </w14:solidFill>
          </w14:textFill>
        </w:rPr>
        <w:t>。对作用于人体表面的新原料，根据新原料的理化性质，配置成一定浓度的溶液或以不影响其功效的极简组合进行功效评价，选择与所发挥功效相适应的功效评价方法，并设置相应的对照，逐一研究确定新原料各个使用目的的起效量（着色剂除外）和安全使用量，证明其在该使用目的和适用范围、所使用剂量下对人体的安全性和有效性。</w:t>
      </w:r>
      <w:r>
        <w:rPr>
          <w:rFonts w:hint="eastAsia" w:ascii="仿宋" w:hAnsi="仿宋" w:eastAsia="仿宋"/>
          <w:color w:val="000000" w:themeColor="text1"/>
          <w:kern w:val="0"/>
          <w:sz w:val="32"/>
          <w:szCs w:val="32"/>
          <w14:textFill>
            <w14:solidFill>
              <w14:schemeClr w14:val="tx1"/>
            </w14:solidFill>
          </w14:textFill>
        </w:rPr>
        <w:t>对于新原料发挥的功效</w:t>
      </w:r>
      <w:r>
        <w:rPr>
          <w:rFonts w:ascii="仿宋" w:hAnsi="仿宋" w:eastAsia="仿宋"/>
          <w:color w:val="000000" w:themeColor="text1"/>
          <w:kern w:val="0"/>
          <w:sz w:val="32"/>
          <w:szCs w:val="32"/>
          <w14:textFill>
            <w14:solidFill>
              <w14:schemeClr w14:val="tx1"/>
            </w14:solidFill>
          </w14:textFill>
        </w:rPr>
        <w:t>能够通过视觉、嗅觉等感官直接识别的如清洁、芳香、染发、烫发、脱毛、除臭等</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或者通过简单物理遮盖、附着、摩擦等方式发生效果如遮盖、</w:t>
      </w:r>
      <w:r>
        <w:rPr>
          <w:rFonts w:hint="eastAsia" w:ascii="仿宋" w:hAnsi="仿宋" w:eastAsia="仿宋"/>
          <w:color w:val="000000" w:themeColor="text1"/>
          <w:kern w:val="0"/>
          <w:sz w:val="32"/>
          <w:szCs w:val="32"/>
          <w14:textFill>
            <w14:solidFill>
              <w14:schemeClr w14:val="tx1"/>
            </w14:solidFill>
          </w14:textFill>
        </w:rPr>
        <w:t>摩擦</w:t>
      </w:r>
      <w:r>
        <w:rPr>
          <w:rFonts w:ascii="仿宋" w:hAnsi="仿宋" w:eastAsia="仿宋"/>
          <w:color w:val="000000" w:themeColor="text1"/>
          <w:kern w:val="0"/>
          <w:sz w:val="32"/>
          <w:szCs w:val="32"/>
          <w14:textFill>
            <w14:solidFill>
              <w14:schemeClr w14:val="tx1"/>
            </w14:solidFill>
          </w14:textFill>
        </w:rPr>
        <w:t>等</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需</w:t>
      </w:r>
      <w:r>
        <w:rPr>
          <w:rFonts w:hint="eastAsia" w:ascii="仿宋" w:hAnsi="仿宋" w:eastAsia="仿宋"/>
          <w:color w:val="000000" w:themeColor="text1"/>
          <w:kern w:val="0"/>
          <w:sz w:val="32"/>
          <w:szCs w:val="32"/>
          <w14:textFill>
            <w14:solidFill>
              <w14:schemeClr w14:val="tx1"/>
            </w14:solidFill>
          </w14:textFill>
        </w:rPr>
        <w:t>明确</w:t>
      </w:r>
      <w:r>
        <w:rPr>
          <w:rFonts w:ascii="仿宋" w:hAnsi="仿宋" w:eastAsia="仿宋"/>
          <w:color w:val="000000" w:themeColor="text1"/>
          <w:kern w:val="0"/>
          <w:sz w:val="32"/>
          <w:szCs w:val="32"/>
          <w14:textFill>
            <w14:solidFill>
              <w14:schemeClr w14:val="tx1"/>
            </w14:solidFill>
          </w14:textFill>
        </w:rPr>
        <w:t>其作用机理</w:t>
      </w:r>
      <w:r>
        <w:rPr>
          <w:rFonts w:hint="eastAsia" w:ascii="仿宋" w:hAnsi="仿宋" w:eastAsia="仿宋"/>
          <w:color w:val="000000" w:themeColor="text1"/>
          <w:kern w:val="0"/>
          <w:sz w:val="32"/>
          <w:szCs w:val="32"/>
          <w14:textFill>
            <w14:solidFill>
              <w14:schemeClr w14:val="tx1"/>
            </w14:solidFill>
          </w14:textFill>
        </w:rPr>
        <w:t>，可通过实验室试验研究数据或相关科学文献资料以证明新原料的功能。</w:t>
      </w:r>
    </w:p>
    <w:p>
      <w:pPr>
        <w:tabs>
          <w:tab w:val="left" w:pos="567"/>
        </w:tabs>
        <w:adjustRightInd w:val="0"/>
        <w:spacing w:line="360" w:lineRule="auto"/>
        <w:ind w:firstLine="643" w:firstLineChars="2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5）安全评价</w:t>
      </w:r>
    </w:p>
    <w:p>
      <w:pPr>
        <w:numPr>
          <w:ilvl w:val="255"/>
          <w:numId w:val="0"/>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新原料注册人、备案人应对新原料开展安全性评价，一般包括毒理学安全性评价和安全风险评估。</w:t>
      </w:r>
    </w:p>
    <w:p>
      <w:pPr>
        <w:numPr>
          <w:ilvl w:val="255"/>
          <w:numId w:val="0"/>
        </w:num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cs="仿宋"/>
          <w:sz w:val="32"/>
          <w:szCs w:val="32"/>
        </w:rPr>
        <w:t>1）毒理学安全性评价</w:t>
      </w:r>
    </w:p>
    <w:p>
      <w:pPr>
        <w:numPr>
          <w:ilvl w:val="255"/>
          <w:numId w:val="0"/>
        </w:numPr>
        <w:adjustRightInd w:val="0"/>
        <w:snapToGrid w:val="0"/>
        <w:spacing w:line="360" w:lineRule="auto"/>
        <w:ind w:firstLine="640" w:firstLineChars="200"/>
        <w:rPr>
          <w:rFonts w:ascii="仿宋" w:hAnsi="仿宋" w:eastAsia="仿宋_GB2312"/>
          <w:bCs/>
          <w:color w:val="000000" w:themeColor="text1"/>
          <w:kern w:val="0"/>
          <w:sz w:val="32"/>
          <w:szCs w:val="32"/>
          <w14:textFill>
            <w14:solidFill>
              <w14:schemeClr w14:val="tx1"/>
            </w14:solidFill>
          </w14:textFill>
        </w:rPr>
      </w:pPr>
      <w:r>
        <w:rPr>
          <w:rFonts w:eastAsia="仿宋_GB2312"/>
          <w:sz w:val="32"/>
          <w:szCs w:val="32"/>
        </w:rPr>
        <w:t>化妆品新原料注册人、备案人</w:t>
      </w:r>
      <w:r>
        <w:rPr>
          <w:rFonts w:hint="eastAsia" w:eastAsia="仿宋_GB2312"/>
          <w:sz w:val="32"/>
          <w:szCs w:val="32"/>
        </w:rPr>
        <w:t>应根据原料的</w:t>
      </w:r>
      <w:r>
        <w:rPr>
          <w:rFonts w:ascii="仿宋" w:hAnsi="仿宋" w:eastAsia="仿宋"/>
          <w:kern w:val="0"/>
          <w:sz w:val="32"/>
          <w:szCs w:val="32"/>
        </w:rPr>
        <w:t>理化特性、</w:t>
      </w:r>
      <w:r>
        <w:rPr>
          <w:rFonts w:hint="eastAsia" w:eastAsia="仿宋_GB2312"/>
          <w:sz w:val="32"/>
          <w:szCs w:val="32"/>
        </w:rPr>
        <w:t>实际功能等，开展新原料安全性评价。</w:t>
      </w:r>
      <w:r>
        <w:rPr>
          <w:rFonts w:eastAsia="仿宋_GB2312"/>
          <w:sz w:val="32"/>
          <w:szCs w:val="32"/>
        </w:rPr>
        <w:t>对于具有防腐、防晒、着色、染发、祛斑美白、防脱发、祛痘、抗皱（物理性抗皱除外）、去屑、除臭功能的新原料，应至少</w:t>
      </w:r>
      <w:r>
        <w:rPr>
          <w:rFonts w:hint="eastAsia" w:eastAsia="仿宋_GB2312"/>
          <w:sz w:val="32"/>
          <w:szCs w:val="32"/>
        </w:rPr>
        <w:t>对急性经口或急性经皮毒性、皮肤和眼刺激性/腐蚀性、皮肤变态反应、皮肤光毒性、皮肤光变态反应、致突变性(至少应当包括一项基因水平和一项染色体水平）、</w:t>
      </w:r>
      <w:r>
        <w:rPr>
          <w:rFonts w:eastAsia="仿宋_GB2312" w:asciiTheme="minorHAnsi" w:hAnsiTheme="minorHAnsi" w:cstheme="minorBidi"/>
          <w:color w:val="auto"/>
          <w:sz w:val="32"/>
          <w:szCs w:val="32"/>
          <w:shd w:val="clear" w:color="auto" w:fill="auto"/>
        </w:rPr>
        <w:t>亚慢性经口或经皮毒性</w:t>
      </w:r>
      <w:r>
        <w:rPr>
          <w:rFonts w:hint="eastAsia" w:eastAsia="仿宋_GB2312"/>
          <w:sz w:val="32"/>
          <w:szCs w:val="32"/>
        </w:rPr>
        <w:t>、致畸性、慢性毒性/致癌性等毒理学终点开展安全评价，并开展</w:t>
      </w:r>
      <w:r>
        <w:rPr>
          <w:rFonts w:eastAsia="仿宋_GB2312"/>
          <w:sz w:val="32"/>
          <w:szCs w:val="32"/>
        </w:rPr>
        <w:t>长期人体试用安全试验</w:t>
      </w:r>
      <w:r>
        <w:rPr>
          <w:rFonts w:hint="eastAsia" w:eastAsia="仿宋_GB2312"/>
          <w:sz w:val="32"/>
          <w:szCs w:val="32"/>
          <w:lang w:eastAsia="zh-CN"/>
        </w:rPr>
        <w:t>研究</w:t>
      </w:r>
      <w:r>
        <w:rPr>
          <w:rFonts w:hint="eastAsia" w:eastAsia="仿宋_GB2312"/>
          <w:sz w:val="32"/>
          <w:szCs w:val="32"/>
        </w:rPr>
        <w:t>。</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对于</w:t>
      </w:r>
      <w:r>
        <w:rPr>
          <w:rFonts w:eastAsia="仿宋_GB2312"/>
          <w:sz w:val="32"/>
          <w:szCs w:val="32"/>
        </w:rPr>
        <w:t>不具有防腐、防晒、着色、染发、祛斑美白、防脱发、祛痘、抗皱（物理性抗皱除外）、去屑、除臭功能的新原料</w:t>
      </w:r>
      <w:r>
        <w:rPr>
          <w:rFonts w:hint="eastAsia" w:eastAsia="仿宋_GB2312"/>
          <w:sz w:val="32"/>
          <w:szCs w:val="32"/>
        </w:rPr>
        <w:t>，</w:t>
      </w:r>
      <w:r>
        <w:rPr>
          <w:rFonts w:eastAsia="仿宋_GB2312"/>
          <w:sz w:val="32"/>
          <w:szCs w:val="32"/>
        </w:rPr>
        <w:t>应至少</w:t>
      </w:r>
      <w:r>
        <w:rPr>
          <w:rFonts w:hint="eastAsia" w:eastAsia="仿宋_GB2312"/>
          <w:sz w:val="32"/>
          <w:szCs w:val="32"/>
        </w:rPr>
        <w:t>对急性经口或急性经皮毒性、皮肤和眼刺激性/腐蚀性、皮肤变态反应、皮肤光毒性、皮肤光变态反应、致突变性(至少应当包括一项基因水平和一项染色体水平）、亚慢性经口或经皮毒性等毒理学终点开展安全评价。</w:t>
      </w:r>
    </w:p>
    <w:p>
      <w:pPr>
        <w:adjustRightInd w:val="0"/>
        <w:snapToGrid w:val="0"/>
        <w:spacing w:line="360" w:lineRule="auto"/>
        <w:ind w:firstLine="640" w:firstLineChars="200"/>
        <w:rPr>
          <w:rFonts w:eastAsia="仿宋_GB2312"/>
          <w:sz w:val="32"/>
          <w:szCs w:val="32"/>
        </w:rPr>
      </w:pPr>
      <w:r>
        <w:rPr>
          <w:rFonts w:hint="eastAsia" w:ascii="仿宋_GB2312" w:hAnsi="仿宋_GB2312" w:eastAsia="仿宋_GB2312" w:cs="仿宋_GB2312"/>
          <w:bCs/>
          <w:color w:val="000000" w:themeColor="text1"/>
          <w:kern w:val="0"/>
          <w:sz w:val="32"/>
          <w:szCs w:val="32"/>
          <w14:textFill>
            <w14:solidFill>
              <w14:schemeClr w14:val="tx1"/>
            </w14:solidFill>
          </w14:textFill>
        </w:rPr>
        <w:t>对作用于人体表面的新原料，根据原料的特性开展原料经皮/透皮吸收、分布和代谢途径的研究，阐明原料作用于人体的相关作用机理以及对人体的安全性。</w:t>
      </w:r>
    </w:p>
    <w:p>
      <w:pPr>
        <w:adjustRightInd w:val="0"/>
        <w:snapToGrid w:val="0"/>
        <w:spacing w:line="360" w:lineRule="auto"/>
        <w:ind w:firstLine="640" w:firstLineChars="200"/>
        <w:rPr>
          <w:rFonts w:eastAsia="仿宋_GB2312"/>
        </w:rPr>
      </w:pPr>
      <w:r>
        <w:rPr>
          <w:rFonts w:hint="eastAsia" w:eastAsia="仿宋_GB2312"/>
          <w:sz w:val="32"/>
          <w:szCs w:val="32"/>
        </w:rPr>
        <w:t>2）安全风险评估</w:t>
      </w:r>
    </w:p>
    <w:p>
      <w:pPr>
        <w:adjustRightInd w:val="0"/>
        <w:snapToGrid w:val="0"/>
        <w:spacing w:line="360" w:lineRule="auto"/>
        <w:ind w:firstLine="640" w:firstLineChars="200"/>
        <w:rPr>
          <w:rFonts w:eastAsia="仿宋_GB2312"/>
        </w:rPr>
      </w:pPr>
      <w:r>
        <w:rPr>
          <w:rFonts w:eastAsia="仿宋_GB2312"/>
          <w:sz w:val="32"/>
          <w:szCs w:val="32"/>
        </w:rPr>
        <w:t>化妆品新原料注册人、备案人</w:t>
      </w:r>
      <w:r>
        <w:rPr>
          <w:rFonts w:hint="eastAsia" w:eastAsia="仿宋_GB2312"/>
          <w:sz w:val="32"/>
          <w:szCs w:val="32"/>
        </w:rPr>
        <w:t>应根据《化妆品安全评估技术导则（2021年版）》的原则和程序开展新原料和原料中可能存在的所有安全性风险物质的安全评估，并形成新原料安全评估报告。</w:t>
      </w:r>
    </w:p>
    <w:p>
      <w:pPr>
        <w:widowControl/>
        <w:adjustRightInd w:val="0"/>
        <w:snapToGrid w:val="0"/>
        <w:spacing w:line="360" w:lineRule="auto"/>
        <w:ind w:firstLine="640" w:firstLineChars="200"/>
        <w:rPr>
          <w:rFonts w:eastAsia="仿宋_GB2312"/>
          <w:sz w:val="32"/>
          <w:szCs w:val="32"/>
        </w:rPr>
      </w:pPr>
      <w:r>
        <w:rPr>
          <w:rFonts w:hint="eastAsia" w:ascii="仿宋" w:hAnsi="仿宋" w:eastAsia="仿宋"/>
          <w:bCs/>
          <w:kern w:val="0"/>
          <w:sz w:val="32"/>
          <w:szCs w:val="32"/>
        </w:rPr>
        <w:t>根据《化妆品安全评估技术导则》的风险评估程序明确</w:t>
      </w:r>
      <w:r>
        <w:rPr>
          <w:rFonts w:hint="eastAsia" w:eastAsia="仿宋_GB2312"/>
          <w:sz w:val="32"/>
          <w:szCs w:val="32"/>
        </w:rPr>
        <w:t>新原料安全使用量（或使用浓度）</w:t>
      </w:r>
      <w:r>
        <w:rPr>
          <w:rFonts w:hint="eastAsia" w:ascii="仿宋" w:hAnsi="仿宋" w:eastAsia="仿宋"/>
          <w:bCs/>
          <w:kern w:val="0"/>
          <w:sz w:val="32"/>
          <w:szCs w:val="32"/>
        </w:rPr>
        <w:t>、使用范围，</w:t>
      </w:r>
      <w:r>
        <w:rPr>
          <w:rFonts w:hint="eastAsia" w:eastAsia="仿宋_GB2312"/>
          <w:sz w:val="32"/>
          <w:szCs w:val="32"/>
        </w:rPr>
        <w:t>同时应</w:t>
      </w:r>
      <w:r>
        <w:rPr>
          <w:rFonts w:hint="eastAsia" w:ascii="仿宋" w:hAnsi="仿宋" w:eastAsia="仿宋"/>
          <w:bCs/>
          <w:kern w:val="0"/>
          <w:sz w:val="32"/>
          <w:szCs w:val="32"/>
        </w:rPr>
        <w:t>对新原料制备过程中产生的所有风险物质进行评估，明确风险物质的可接受量（或浓度、范围），并明确对应的具体质控措施。</w:t>
      </w:r>
    </w:p>
    <w:p>
      <w:pPr>
        <w:numPr>
          <w:ilvl w:val="255"/>
          <w:numId w:val="0"/>
        </w:numPr>
        <w:adjustRightInd w:val="0"/>
        <w:snapToGrid w:val="0"/>
        <w:spacing w:line="360" w:lineRule="auto"/>
        <w:ind w:firstLine="643" w:firstLineChars="200"/>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2.国内首次使用的新原料</w:t>
      </w:r>
    </w:p>
    <w:p>
      <w:pPr>
        <w:numPr>
          <w:ilvl w:val="255"/>
          <w:numId w:val="0"/>
        </w:numPr>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化妆品新原料注册人、备案人需按照上述国内外首次使用的新原料一般要求如制备工艺、稳定性试验、质量控制标准、功能评价要求开展相关研究</w:t>
      </w:r>
      <w:r>
        <w:rPr>
          <w:rFonts w:ascii="仿宋" w:hAnsi="仿宋" w:eastAsia="仿宋"/>
          <w:sz w:val="32"/>
          <w:szCs w:val="32"/>
        </w:rPr>
        <w:t>。</w:t>
      </w:r>
    </w:p>
    <w:p>
      <w:pPr>
        <w:numPr>
          <w:ilvl w:val="255"/>
          <w:numId w:val="0"/>
        </w:numPr>
        <w:adjustRightInd w:val="0"/>
        <w:snapToGrid w:val="0"/>
        <w:spacing w:line="360" w:lineRule="auto"/>
        <w:ind w:firstLine="640" w:firstLineChars="200"/>
        <w:rPr>
          <w:rFonts w:eastAsia="仿宋_GB2312"/>
          <w:sz w:val="32"/>
          <w:szCs w:val="32"/>
        </w:rPr>
      </w:pPr>
      <w:r>
        <w:rPr>
          <w:rFonts w:hint="eastAsia" w:ascii="仿宋" w:hAnsi="仿宋" w:eastAsia="仿宋"/>
          <w:bCs/>
          <w:kern w:val="0"/>
          <w:sz w:val="32"/>
          <w:szCs w:val="32"/>
        </w:rPr>
        <w:t>注册人、备案人</w:t>
      </w:r>
      <w:r>
        <w:rPr>
          <w:rFonts w:hint="eastAsia" w:eastAsia="仿宋_GB2312"/>
          <w:sz w:val="32"/>
          <w:szCs w:val="32"/>
        </w:rPr>
        <w:t>如能提供充分的证明资料（如</w:t>
      </w:r>
      <w:r>
        <w:rPr>
          <w:rFonts w:hint="eastAsia" w:eastAsia="仿宋_GB2312"/>
          <w:sz w:val="32"/>
          <w:szCs w:val="32"/>
          <w:lang w:eastAsia="zh-CN"/>
        </w:rPr>
        <w:t>含有</w:t>
      </w:r>
      <w:bookmarkStart w:id="102" w:name="_GoBack"/>
      <w:bookmarkEnd w:id="102"/>
      <w:r>
        <w:rPr>
          <w:rFonts w:hint="eastAsia" w:eastAsia="仿宋_GB2312"/>
          <w:sz w:val="32"/>
          <w:szCs w:val="32"/>
          <w:lang w:eastAsia="zh-CN"/>
        </w:rPr>
        <w:t>新原料的</w:t>
      </w:r>
      <w:r>
        <w:rPr>
          <w:rFonts w:hint="eastAsia" w:ascii="仿宋" w:hAnsi="仿宋" w:eastAsia="仿宋"/>
          <w:bCs/>
          <w:kern w:val="0"/>
          <w:sz w:val="32"/>
          <w:szCs w:val="32"/>
        </w:rPr>
        <w:t>产品销售包装、产品名称、产品标签、全成分标识、销售记录等内容）</w:t>
      </w:r>
      <w:r>
        <w:rPr>
          <w:rFonts w:hint="eastAsia" w:eastAsia="仿宋_GB2312"/>
          <w:sz w:val="32"/>
          <w:szCs w:val="32"/>
        </w:rPr>
        <w:t>满足以下条件，</w:t>
      </w:r>
      <w:r>
        <w:rPr>
          <w:rFonts w:hint="eastAsia" w:ascii="仿宋" w:hAnsi="仿宋" w:eastAsia="仿宋"/>
          <w:bCs/>
          <w:color w:val="000000" w:themeColor="text1"/>
          <w:kern w:val="0"/>
          <w:sz w:val="32"/>
          <w:szCs w:val="32"/>
          <w14:textFill>
            <w14:solidFill>
              <w14:schemeClr w14:val="tx1"/>
            </w14:solidFill>
          </w14:textFill>
        </w:rPr>
        <w:t>可视为具有三年以上安全使用历史的新原料，</w:t>
      </w:r>
      <w:r>
        <w:rPr>
          <w:rFonts w:hint="eastAsia" w:eastAsia="仿宋_GB2312"/>
          <w:sz w:val="32"/>
          <w:szCs w:val="32"/>
        </w:rPr>
        <w:t>可按照《资料管理规定》要求豁免部分毒理学终点的评估资料；如不能满足以下条件，应按照国内外首次使用的新原料开展研究和安全评价。</w:t>
      </w:r>
    </w:p>
    <w:p>
      <w:pPr>
        <w:numPr>
          <w:ilvl w:val="255"/>
          <w:numId w:val="0"/>
        </w:numPr>
        <w:adjustRightInd w:val="0"/>
        <w:snapToGrid w:val="0"/>
        <w:spacing w:line="360" w:lineRule="auto"/>
        <w:ind w:firstLine="640" w:firstLineChars="200"/>
        <w:rPr>
          <w:rFonts w:eastAsia="仿宋_GB2312"/>
          <w:sz w:val="32"/>
          <w:szCs w:val="32"/>
        </w:rPr>
      </w:pPr>
      <w:r>
        <w:rPr>
          <w:rFonts w:hint="eastAsia" w:ascii="仿宋" w:hAnsi="仿宋" w:eastAsia="仿宋"/>
          <w:bCs/>
          <w:color w:val="000000" w:themeColor="text1"/>
          <w:kern w:val="0"/>
          <w:sz w:val="32"/>
          <w:szCs w:val="32"/>
          <w14:textFill>
            <w14:solidFill>
              <w14:schemeClr w14:val="tx1"/>
            </w14:solidFill>
          </w14:textFill>
        </w:rPr>
        <w:t>符合以下条件的可视为具有三年以上安全使用历史的新原料：</w:t>
      </w:r>
      <w:r>
        <w:rPr>
          <w:rFonts w:hint="eastAsia" w:eastAsia="仿宋_GB2312"/>
          <w:sz w:val="32"/>
          <w:szCs w:val="32"/>
        </w:rPr>
        <w:t>境外上市化妆品中使用的原料的质量规格、使用目的、适用或使用范围、生产工艺、质量控制标准与注册、备案的新原料相同，且其在化妆品中的使用量高于新原料的安全使用量；使用该原料的化妆品上市满三年；含该原料的化妆品在境外已积累足够的销售数量、使用人群，且未出现因该原料引起中的严重不良反应或群体不良反应。</w:t>
      </w:r>
    </w:p>
    <w:p>
      <w:pPr>
        <w:adjustRightInd w:val="0"/>
        <w:snapToGrid w:val="0"/>
        <w:spacing w:line="360" w:lineRule="auto"/>
        <w:ind w:firstLine="640" w:firstLineChars="200"/>
        <w:rPr>
          <w:rFonts w:ascii="仿宋_GB2312" w:hAnsi="仿宋_GB2312" w:eastAsia="仿宋_GB2312" w:cs="仿宋_GB2312"/>
          <w:b/>
          <w:bCs/>
          <w:kern w:val="0"/>
          <w:sz w:val="32"/>
          <w:szCs w:val="32"/>
        </w:rPr>
      </w:pPr>
      <w:r>
        <w:rPr>
          <w:rFonts w:hint="eastAsia" w:eastAsia="仿宋_GB2312"/>
          <w:sz w:val="32"/>
          <w:szCs w:val="32"/>
        </w:rPr>
        <w:t>3．</w:t>
      </w:r>
      <w:r>
        <w:rPr>
          <w:rFonts w:hint="eastAsia" w:ascii="仿宋_GB2312" w:hAnsi="仿宋_GB2312" w:eastAsia="仿宋_GB2312" w:cs="仿宋_GB2312"/>
          <w:b/>
          <w:bCs/>
          <w:kern w:val="0"/>
          <w:sz w:val="32"/>
          <w:szCs w:val="32"/>
        </w:rPr>
        <w:t>改进创新的新原料</w:t>
      </w:r>
    </w:p>
    <w:p>
      <w:pPr>
        <w:numPr>
          <w:ilvl w:val="255"/>
          <w:numId w:val="0"/>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改进创新的新原料包括以下两种情形：</w:t>
      </w:r>
    </w:p>
    <w:p>
      <w:pPr>
        <w:numPr>
          <w:ilvl w:val="255"/>
          <w:numId w:val="0"/>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（1）新原料注册人、备案人在基于原料的制备工艺和</w:t>
      </w:r>
      <w:r>
        <w:rPr>
          <w:rFonts w:hint="eastAsia" w:ascii="仿宋" w:hAnsi="仿宋" w:eastAsia="仿宋"/>
          <w:bCs/>
          <w:kern w:val="0"/>
          <w:sz w:val="32"/>
          <w:szCs w:val="32"/>
        </w:rPr>
        <w:t>质量控制标准不变的情况下，</w:t>
      </w:r>
      <w:r>
        <w:rPr>
          <w:rFonts w:hint="eastAsia" w:ascii="仿宋_GB2312" w:hAnsi="仿宋_GB2312" w:eastAsia="仿宋_GB2312" w:cs="仿宋_GB2312"/>
          <w:bCs/>
          <w:kern w:val="0"/>
          <w:sz w:val="32"/>
          <w:szCs w:val="32"/>
        </w:rPr>
        <w:t>对使用目的、安全使用量明确的已使用化妆品原料重新进行</w:t>
      </w:r>
      <w:r>
        <w:rPr>
          <w:rFonts w:hint="eastAsia" w:ascii="仿宋" w:hAnsi="仿宋" w:eastAsia="仿宋" w:cs="仿宋"/>
          <w:sz w:val="32"/>
          <w:szCs w:val="32"/>
        </w:rPr>
        <w:t>功效评价和安全评估，明确原料新的功能和安全使用量，调整原料的</w:t>
      </w:r>
      <w:r>
        <w:rPr>
          <w:rFonts w:hint="eastAsia" w:ascii="仿宋" w:hAnsi="仿宋" w:eastAsia="仿宋"/>
          <w:bCs/>
          <w:kern w:val="0"/>
          <w:sz w:val="32"/>
          <w:szCs w:val="32"/>
        </w:rPr>
        <w:t>使用目的为防腐剂、防晒剂、着色剂、染发剂、祛斑美白剂。</w:t>
      </w:r>
      <w:r>
        <w:rPr>
          <w:rFonts w:eastAsia="仿宋_GB2312"/>
          <w:sz w:val="32"/>
          <w:szCs w:val="32"/>
        </w:rPr>
        <w:t>应至少</w:t>
      </w:r>
      <w:r>
        <w:rPr>
          <w:rFonts w:hint="eastAsia" w:eastAsia="仿宋_GB2312"/>
          <w:sz w:val="32"/>
          <w:szCs w:val="32"/>
        </w:rPr>
        <w:t>对急性经口或急性经皮毒性、皮肤和眼刺激性/腐蚀性、皮肤变态反应、皮肤光毒性、皮肤光变态反应、致突变性(至少应当包括一项基因水平和一项染色体水平）、亚慢性经口或经皮毒性、致畸性、慢性毒性/致癌性等毒理学终点开展安全评价，并对</w:t>
      </w:r>
      <w:r>
        <w:rPr>
          <w:rFonts w:eastAsia="仿宋_GB2312"/>
          <w:sz w:val="32"/>
          <w:szCs w:val="32"/>
        </w:rPr>
        <w:t>长期人体</w:t>
      </w:r>
      <w:r>
        <w:rPr>
          <w:rFonts w:hint="eastAsia" w:eastAsia="仿宋_GB2312"/>
          <w:sz w:val="32"/>
          <w:szCs w:val="32"/>
        </w:rPr>
        <w:t>使用相关数据进行安全评价</w:t>
      </w:r>
      <w:r>
        <w:rPr>
          <w:rFonts w:hint="eastAsia" w:eastAsia="仿宋_GB2312"/>
          <w:sz w:val="32"/>
          <w:szCs w:val="32"/>
          <w:lang w:eastAsia="zh-CN"/>
        </w:rPr>
        <w:t>，必要时开展长期人体试用安全试验研究</w:t>
      </w:r>
      <w:r>
        <w:rPr>
          <w:rFonts w:hint="eastAsia" w:eastAsia="仿宋_GB2312"/>
          <w:sz w:val="32"/>
          <w:szCs w:val="32"/>
        </w:rPr>
        <w:t>。</w:t>
      </w:r>
    </w:p>
    <w:p>
      <w:pPr>
        <w:numPr>
          <w:ilvl w:val="255"/>
          <w:numId w:val="0"/>
        </w:numPr>
        <w:adjustRightInd w:val="0"/>
        <w:snapToGrid w:val="0"/>
        <w:spacing w:line="360" w:lineRule="auto"/>
        <w:ind w:firstLine="640" w:firstLineChars="200"/>
        <w:rPr>
          <w:rFonts w:hint="eastAsia" w:ascii="仿宋" w:hAnsi="仿宋" w:eastAsia="仿宋"/>
          <w:bCs/>
          <w:kern w:val="0"/>
          <w:sz w:val="32"/>
          <w:szCs w:val="32"/>
        </w:rPr>
      </w:pPr>
      <w:r>
        <w:rPr>
          <w:rFonts w:hint="eastAsia" w:ascii="仿宋" w:hAnsi="仿宋" w:eastAsia="仿宋" w:cs="仿宋"/>
          <w:sz w:val="32"/>
          <w:szCs w:val="32"/>
        </w:rPr>
        <w:t>（2）新原料注册人、备案人</w:t>
      </w:r>
      <w:r>
        <w:rPr>
          <w:rFonts w:hint="eastAsia" w:ascii="仿宋_GB2312" w:hAnsi="仿宋_GB2312" w:eastAsia="仿宋_GB2312" w:cs="仿宋_GB2312"/>
          <w:bCs/>
          <w:kern w:val="0"/>
          <w:sz w:val="32"/>
          <w:szCs w:val="32"/>
        </w:rPr>
        <w:t>在保证原料安全性的前提下，</w:t>
      </w:r>
      <w:r>
        <w:rPr>
          <w:rFonts w:hint="eastAsia" w:ascii="仿宋_GB2312" w:hAnsi="仿宋_GB2312" w:eastAsia="仿宋_GB2312" w:cs="仿宋_GB2312"/>
          <w:bCs/>
          <w:kern w:val="0"/>
          <w:sz w:val="32"/>
          <w:szCs w:val="32"/>
          <w:highlight w:val="none"/>
        </w:rPr>
        <w:t>对使用目的、安全使用量明确的已使用</w:t>
      </w:r>
      <w:r>
        <w:rPr>
          <w:rFonts w:hint="eastAsia" w:ascii="仿宋_GB2312" w:hAnsi="仿宋_GB2312" w:eastAsia="仿宋_GB2312" w:cs="仿宋_GB2312"/>
          <w:bCs/>
          <w:kern w:val="0"/>
          <w:sz w:val="32"/>
          <w:szCs w:val="32"/>
        </w:rPr>
        <w:t>化妆品</w:t>
      </w:r>
      <w:r>
        <w:rPr>
          <w:rFonts w:hint="eastAsia" w:ascii="仿宋_GB2312" w:hAnsi="仿宋_GB2312" w:eastAsia="仿宋_GB2312" w:cs="仿宋_GB2312"/>
          <w:bCs/>
          <w:kern w:val="0"/>
          <w:sz w:val="32"/>
          <w:szCs w:val="32"/>
          <w:highlight w:val="none"/>
        </w:rPr>
        <w:t>原料进行实质创新性研究</w:t>
      </w:r>
      <w:r>
        <w:rPr>
          <w:rFonts w:hint="eastAsia" w:ascii="仿宋_GB2312" w:hAnsi="仿宋_GB2312" w:eastAsia="仿宋_GB2312" w:cs="仿宋_GB2312"/>
          <w:bCs/>
          <w:kern w:val="0"/>
          <w:sz w:val="32"/>
          <w:szCs w:val="32"/>
        </w:rPr>
        <w:t>。实质创新性研究不是对原料的</w:t>
      </w:r>
      <w:r>
        <w:rPr>
          <w:rFonts w:hint="eastAsia" w:ascii="仿宋_GB2312" w:hAnsi="仿宋_GB2312" w:eastAsia="仿宋_GB2312" w:cs="仿宋_GB2312"/>
          <w:sz w:val="32"/>
          <w:szCs w:val="32"/>
        </w:rPr>
        <w:t>制备工艺、质量控制等方面进行简单重复性研究，而是</w:t>
      </w:r>
      <w:r>
        <w:rPr>
          <w:rFonts w:hint="eastAsia" w:ascii="仿宋" w:hAnsi="仿宋" w:eastAsia="仿宋"/>
          <w:bCs/>
          <w:color w:val="000000" w:themeColor="text1"/>
          <w:kern w:val="0"/>
          <w:sz w:val="32"/>
          <w:szCs w:val="32"/>
          <w14:textFill>
            <w14:solidFill>
              <w14:schemeClr w14:val="tx1"/>
            </w14:solidFill>
          </w14:textFill>
        </w:rPr>
        <w:t>对原料</w:t>
      </w:r>
      <w:r>
        <w:rPr>
          <w:rFonts w:ascii="仿宋" w:hAnsi="仿宋" w:eastAsia="仿宋"/>
          <w:bCs/>
          <w:color w:val="000000" w:themeColor="text1"/>
          <w:kern w:val="0"/>
          <w:sz w:val="32"/>
          <w:szCs w:val="32"/>
          <w14:textFill>
            <w14:solidFill>
              <w14:schemeClr w14:val="tx1"/>
            </w14:solidFill>
          </w14:textFill>
        </w:rPr>
        <w:t>现有的性状</w:t>
      </w:r>
      <w:r>
        <w:rPr>
          <w:rFonts w:hint="eastAsia" w:ascii="仿宋" w:hAnsi="仿宋" w:eastAsia="仿宋"/>
          <w:bCs/>
          <w:color w:val="000000" w:themeColor="text1"/>
          <w:kern w:val="0"/>
          <w:sz w:val="32"/>
          <w:szCs w:val="32"/>
          <w14:textFill>
            <w14:solidFill>
              <w14:schemeClr w14:val="tx1"/>
            </w14:solidFill>
          </w14:textFill>
        </w:rPr>
        <w:t>、特征、实际功能、适用或使用范围、使用量、</w:t>
      </w:r>
      <w:r>
        <w:rPr>
          <w:rFonts w:ascii="仿宋" w:hAnsi="仿宋" w:eastAsia="仿宋"/>
          <w:bCs/>
          <w:color w:val="000000" w:themeColor="text1"/>
          <w:kern w:val="0"/>
          <w:sz w:val="32"/>
          <w:szCs w:val="32"/>
          <w14:textFill>
            <w14:solidFill>
              <w14:schemeClr w14:val="tx1"/>
            </w14:solidFill>
          </w14:textFill>
        </w:rPr>
        <w:t>生产工艺、质量控制</w:t>
      </w:r>
      <w:r>
        <w:rPr>
          <w:rFonts w:hint="eastAsia" w:ascii="仿宋" w:hAnsi="仿宋" w:eastAsia="仿宋"/>
          <w:bCs/>
          <w:color w:val="000000" w:themeColor="text1"/>
          <w:kern w:val="0"/>
          <w:sz w:val="32"/>
          <w:szCs w:val="32"/>
          <w14:textFill>
            <w14:solidFill>
              <w14:schemeClr w14:val="tx1"/>
            </w14:solidFill>
          </w14:textFill>
        </w:rPr>
        <w:t>要求</w:t>
      </w:r>
      <w:r>
        <w:rPr>
          <w:rFonts w:ascii="仿宋" w:hAnsi="仿宋" w:eastAsia="仿宋"/>
          <w:bCs/>
          <w:color w:val="000000" w:themeColor="text1"/>
          <w:kern w:val="0"/>
          <w:sz w:val="32"/>
          <w:szCs w:val="32"/>
          <w14:textFill>
            <w14:solidFill>
              <w14:schemeClr w14:val="tx1"/>
            </w14:solidFill>
          </w14:textFill>
        </w:rPr>
        <w:t>、安全性评价等方面</w:t>
      </w:r>
      <w:r>
        <w:rPr>
          <w:rFonts w:hint="eastAsia" w:ascii="仿宋" w:hAnsi="仿宋" w:eastAsia="仿宋"/>
          <w:bCs/>
          <w:color w:val="000000" w:themeColor="text1"/>
          <w:kern w:val="0"/>
          <w:sz w:val="32"/>
          <w:szCs w:val="32"/>
          <w14:textFill>
            <w14:solidFill>
              <w14:schemeClr w14:val="tx1"/>
            </w14:solidFill>
          </w14:textFill>
        </w:rPr>
        <w:t>在行业内</w:t>
      </w:r>
      <w:r>
        <w:rPr>
          <w:rFonts w:ascii="仿宋" w:hAnsi="仿宋" w:eastAsia="仿宋"/>
          <w:bCs/>
          <w:color w:val="000000" w:themeColor="text1"/>
          <w:kern w:val="0"/>
          <w:sz w:val="32"/>
          <w:szCs w:val="32"/>
          <w14:textFill>
            <w14:solidFill>
              <w14:schemeClr w14:val="tx1"/>
            </w14:solidFill>
          </w14:textFill>
        </w:rPr>
        <w:t>开展全面</w:t>
      </w:r>
      <w:r>
        <w:rPr>
          <w:rFonts w:hint="eastAsia" w:ascii="仿宋" w:hAnsi="仿宋" w:eastAsia="仿宋"/>
          <w:bCs/>
          <w:color w:val="000000" w:themeColor="text1"/>
          <w:kern w:val="0"/>
          <w:sz w:val="32"/>
          <w:szCs w:val="32"/>
          <w14:textFill>
            <w14:solidFill>
              <w14:schemeClr w14:val="tx1"/>
            </w14:solidFill>
          </w14:textFill>
        </w:rPr>
        <w:t>充分的研究</w:t>
      </w:r>
      <w:r>
        <w:rPr>
          <w:rFonts w:ascii="仿宋" w:hAnsi="仿宋" w:eastAsia="仿宋"/>
          <w:bCs/>
          <w:color w:val="000000" w:themeColor="text1"/>
          <w:kern w:val="0"/>
          <w:sz w:val="32"/>
          <w:szCs w:val="32"/>
          <w14:textFill>
            <w14:solidFill>
              <w14:schemeClr w14:val="tx1"/>
            </w14:solidFill>
          </w14:textFill>
        </w:rPr>
        <w:t>，形成该原料的</w:t>
      </w:r>
      <w:r>
        <w:rPr>
          <w:rFonts w:hint="eastAsia" w:ascii="仿宋" w:hAnsi="仿宋" w:eastAsia="仿宋"/>
          <w:bCs/>
          <w:color w:val="000000" w:themeColor="text1"/>
          <w:kern w:val="0"/>
          <w:sz w:val="32"/>
          <w:szCs w:val="32"/>
          <w14:textFill>
            <w14:solidFill>
              <w14:schemeClr w14:val="tx1"/>
            </w14:solidFill>
          </w14:textFill>
        </w:rPr>
        <w:t>研究</w:t>
      </w:r>
      <w:r>
        <w:rPr>
          <w:rFonts w:ascii="仿宋" w:hAnsi="仿宋" w:eastAsia="仿宋"/>
          <w:bCs/>
          <w:color w:val="000000" w:themeColor="text1"/>
          <w:kern w:val="0"/>
          <w:sz w:val="32"/>
          <w:szCs w:val="32"/>
          <w14:textFill>
            <w14:solidFill>
              <w14:schemeClr w14:val="tx1"/>
            </w14:solidFill>
          </w14:textFill>
        </w:rPr>
        <w:t>报告和原料技术要求，</w:t>
      </w:r>
      <w:r>
        <w:rPr>
          <w:rFonts w:hint="eastAsia" w:ascii="仿宋" w:hAnsi="仿宋" w:eastAsia="仿宋"/>
          <w:bCs/>
          <w:color w:val="000000" w:themeColor="text1"/>
          <w:kern w:val="0"/>
          <w:sz w:val="32"/>
          <w:szCs w:val="32"/>
          <w14:textFill>
            <w14:solidFill>
              <w14:schemeClr w14:val="tx1"/>
            </w14:solidFill>
          </w14:textFill>
        </w:rPr>
        <w:t>在</w:t>
      </w:r>
      <w:r>
        <w:rPr>
          <w:rFonts w:ascii="仿宋" w:hAnsi="仿宋" w:eastAsia="仿宋"/>
          <w:bCs/>
          <w:kern w:val="0"/>
          <w:sz w:val="32"/>
          <w:szCs w:val="32"/>
        </w:rPr>
        <w:t>进行充分的对比研究</w:t>
      </w:r>
      <w:r>
        <w:rPr>
          <w:rFonts w:hint="eastAsia" w:ascii="仿宋" w:hAnsi="仿宋" w:eastAsia="仿宋"/>
          <w:bCs/>
          <w:kern w:val="0"/>
          <w:sz w:val="32"/>
          <w:szCs w:val="32"/>
        </w:rPr>
        <w:t>基础</w:t>
      </w:r>
      <w:r>
        <w:rPr>
          <w:rFonts w:ascii="仿宋" w:hAnsi="仿宋" w:eastAsia="仿宋"/>
          <w:bCs/>
          <w:kern w:val="0"/>
          <w:sz w:val="32"/>
          <w:szCs w:val="32"/>
        </w:rPr>
        <w:t>上</w:t>
      </w:r>
      <w:r>
        <w:rPr>
          <w:rFonts w:ascii="仿宋" w:hAnsi="仿宋" w:eastAsia="仿宋"/>
          <w:bCs/>
          <w:color w:val="000000" w:themeColor="text1"/>
          <w:kern w:val="0"/>
          <w:sz w:val="32"/>
          <w:szCs w:val="32"/>
          <w14:textFill>
            <w14:solidFill>
              <w14:schemeClr w14:val="tx1"/>
            </w14:solidFill>
          </w14:textFill>
        </w:rPr>
        <w:t>，</w:t>
      </w:r>
      <w:r>
        <w:rPr>
          <w:rFonts w:hint="eastAsia" w:ascii="仿宋_GB2312" w:hAnsi="仿宋_GB2312" w:eastAsia="仿宋_GB2312" w:cs="仿宋_GB2312"/>
          <w:bCs/>
          <w:kern w:val="0"/>
          <w:sz w:val="32"/>
          <w:szCs w:val="32"/>
        </w:rPr>
        <w:t>优化原料制备技术和生产工艺</w:t>
      </w:r>
      <w:r>
        <w:rPr>
          <w:rFonts w:hint="eastAsia" w:ascii="仿宋_GB2312" w:hAnsi="仿宋_GB2312" w:eastAsia="仿宋_GB2312" w:cs="仿宋_GB2312"/>
          <w:bCs/>
          <w:kern w:val="0"/>
          <w:sz w:val="32"/>
          <w:szCs w:val="32"/>
          <w:lang w:eastAsia="zh-CN"/>
        </w:rPr>
        <w:t>，且显著</w:t>
      </w:r>
      <w:r>
        <w:rPr>
          <w:rFonts w:hint="eastAsia" w:ascii="仿宋_GB2312" w:hAnsi="仿宋_GB2312" w:eastAsia="仿宋_GB2312" w:cs="仿宋_GB2312"/>
          <w:bCs/>
          <w:kern w:val="0"/>
          <w:sz w:val="32"/>
          <w:szCs w:val="32"/>
        </w:rPr>
        <w:t>改变原料物质基础</w:t>
      </w:r>
      <w:r>
        <w:rPr>
          <w:rFonts w:hint="eastAsia" w:ascii="仿宋_GB2312" w:hAnsi="仿宋_GB2312" w:eastAsia="仿宋_GB2312" w:cs="仿宋_GB2312"/>
          <w:bCs/>
          <w:kern w:val="0"/>
          <w:sz w:val="32"/>
          <w:szCs w:val="32"/>
          <w:lang w:eastAsia="zh-CN"/>
        </w:rPr>
        <w:t>，同时</w:t>
      </w:r>
      <w:r>
        <w:rPr>
          <w:rFonts w:hint="eastAsia" w:ascii="仿宋_GB2312" w:hAnsi="仿宋_GB2312" w:eastAsia="仿宋_GB2312" w:cs="仿宋_GB2312"/>
          <w:bCs/>
          <w:kern w:val="0"/>
          <w:sz w:val="32"/>
          <w:szCs w:val="32"/>
        </w:rPr>
        <w:t>提升原料安全、功效、稳定、质量可控性</w:t>
      </w:r>
      <w:r>
        <w:rPr>
          <w:rFonts w:hint="eastAsia" w:ascii="仿宋_GB2312" w:hAnsi="仿宋_GB2312" w:eastAsia="仿宋_GB2312" w:cs="仿宋_GB2312"/>
          <w:bCs/>
          <w:kern w:val="0"/>
          <w:sz w:val="32"/>
          <w:szCs w:val="32"/>
          <w:lang w:eastAsia="zh-CN"/>
        </w:rPr>
        <w:t>，</w:t>
      </w:r>
      <w:r>
        <w:rPr>
          <w:rFonts w:hint="eastAsia" w:ascii="仿宋" w:hAnsi="仿宋" w:eastAsia="仿宋"/>
          <w:bCs/>
          <w:kern w:val="0"/>
          <w:sz w:val="32"/>
          <w:szCs w:val="32"/>
        </w:rPr>
        <w:t>并按照上述国内外首次使用的新原料一般要求开展相关研究。</w:t>
      </w:r>
    </w:p>
    <w:p>
      <w:pPr>
        <w:numPr>
          <w:ilvl w:val="-1"/>
          <w:numId w:val="0"/>
        </w:numPr>
        <w:autoSpaceDE w:val="0"/>
        <w:autoSpaceDN w:val="0"/>
        <w:adjustRightInd w:val="0"/>
        <w:snapToGrid/>
        <w:spacing w:line="360" w:lineRule="auto"/>
        <w:ind w:firstLine="640" w:firstLineChars="200"/>
        <w:outlineLvl w:val="0"/>
        <w:rPr>
          <w:rFonts w:ascii="黑体" w:hAnsi="黑体" w:eastAsia="黑体" w:cs="黑体"/>
          <w:color w:val="000000" w:themeColor="text1"/>
          <w:sz w:val="32"/>
          <w:szCs w:val="32"/>
          <w14:textFill>
            <w14:solidFill>
              <w14:schemeClr w14:val="tx1"/>
            </w14:solidFill>
          </w14:textFill>
        </w:rPr>
      </w:pPr>
      <w:bookmarkStart w:id="93" w:name="_Toc25084"/>
      <w:bookmarkStart w:id="94" w:name="_Toc31457"/>
      <w:bookmarkStart w:id="95" w:name="_Toc151322099"/>
      <w:bookmarkStart w:id="96" w:name="_Toc29511"/>
      <w:bookmarkStart w:id="97" w:name="_Toc142842262"/>
      <w:bookmarkStart w:id="98" w:name="_Toc1292"/>
      <w:bookmarkStart w:id="99" w:name="_Toc124498236"/>
      <w:bookmarkStart w:id="100" w:name="_Toc26523"/>
      <w:r>
        <w:rPr>
          <w:rFonts w:hint="eastAsia" w:ascii="黑体" w:hAnsi="黑体" w:eastAsia="黑体" w:cs="黑体"/>
          <w:color w:val="000000" w:themeColor="text1"/>
          <w:sz w:val="32"/>
          <w:szCs w:val="32"/>
          <w14:textFill>
            <w14:solidFill>
              <w14:schemeClr w14:val="tx1"/>
            </w14:solidFill>
          </w14:textFill>
        </w:rPr>
        <w:t>四、名词解释</w:t>
      </w:r>
      <w:bookmarkEnd w:id="93"/>
      <w:bookmarkEnd w:id="94"/>
      <w:bookmarkEnd w:id="95"/>
      <w:bookmarkEnd w:id="96"/>
      <w:bookmarkEnd w:id="97"/>
      <w:bookmarkEnd w:id="98"/>
      <w:bookmarkEnd w:id="99"/>
      <w:bookmarkEnd w:id="100"/>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本指导原则中部分用语的含义解释如下：</w:t>
      </w:r>
    </w:p>
    <w:p>
      <w:pPr>
        <w:adjustRightInd w:val="0"/>
        <w:snapToGrid w:val="0"/>
        <w:spacing w:line="360" w:lineRule="auto"/>
        <w:ind w:firstLine="643" w:firstLineChars="200"/>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（一）使用目的</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使用目的指新原料在化妆品配方中的作用（如防腐剂、乳化剂、着色剂、保湿剂等）或赋予化妆品消费者能够客观感知到的使用效果（如清洁、保护、美化、修饰等）。</w:t>
      </w:r>
    </w:p>
    <w:p>
      <w:pPr>
        <w:adjustRightInd w:val="0"/>
        <w:snapToGrid w:val="0"/>
        <w:spacing w:line="360" w:lineRule="auto"/>
        <w:ind w:firstLine="643" w:firstLineChars="200"/>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（二）实际功效</w:t>
      </w:r>
      <w:bookmarkStart w:id="101" w:name="_Hlk25528391"/>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实际功效指实际具有《化妆品分类规则和分类目录》中“功效宣称分类目录</w:t>
      </w:r>
      <w:bookmarkEnd w:id="101"/>
      <w:r>
        <w:rPr>
          <w:rFonts w:hint="eastAsia" w:ascii="仿宋" w:hAnsi="仿宋" w:eastAsia="仿宋"/>
          <w:bCs/>
          <w:color w:val="000000" w:themeColor="text1"/>
          <w:kern w:val="0"/>
          <w:sz w:val="32"/>
          <w:szCs w:val="32"/>
          <w14:textFill>
            <w14:solidFill>
              <w14:schemeClr w14:val="tx1"/>
            </w14:solidFill>
          </w14:textFill>
        </w:rPr>
        <w:t>”中的功效。</w:t>
      </w:r>
    </w:p>
    <w:p>
      <w:pPr>
        <w:adjustRightInd w:val="0"/>
        <w:snapToGrid w:val="0"/>
        <w:spacing w:line="360" w:lineRule="auto"/>
        <w:ind w:firstLine="643" w:firstLineChars="200"/>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（三）作用机理</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作用机理指产生实际功效作用的科学依据。</w:t>
      </w:r>
    </w:p>
    <w:p>
      <w:pPr>
        <w:adjustRightInd w:val="0"/>
        <w:snapToGrid w:val="0"/>
        <w:spacing w:line="360" w:lineRule="auto"/>
        <w:ind w:firstLine="643" w:firstLineChars="200"/>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（四）单一组分新原料</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单一组分新原料</w:t>
      </w:r>
      <w:r>
        <w:rPr>
          <w:rFonts w:ascii="仿宋" w:hAnsi="仿宋" w:eastAsia="仿宋"/>
          <w:bCs/>
          <w:color w:val="000000" w:themeColor="text1"/>
          <w:kern w:val="0"/>
          <w:sz w:val="32"/>
          <w:szCs w:val="32"/>
          <w14:textFill>
            <w14:solidFill>
              <w14:schemeClr w14:val="tx1"/>
            </w14:solidFill>
          </w14:textFill>
        </w:rPr>
        <w:t>是指化学结构明确的单一化学物质</w:t>
      </w:r>
      <w:r>
        <w:rPr>
          <w:rFonts w:hint="eastAsia" w:ascii="仿宋" w:hAnsi="仿宋" w:eastAsia="仿宋"/>
          <w:bCs/>
          <w:color w:val="000000" w:themeColor="text1"/>
          <w:kern w:val="0"/>
          <w:sz w:val="32"/>
          <w:szCs w:val="32"/>
          <w14:textFill>
            <w14:solidFill>
              <w14:schemeClr w14:val="tx1"/>
            </w14:solidFill>
          </w14:textFill>
        </w:rPr>
        <w:t>且含量≥</w:t>
      </w:r>
      <w:r>
        <w:rPr>
          <w:rFonts w:ascii="仿宋" w:hAnsi="仿宋" w:eastAsia="仿宋"/>
          <w:bCs/>
          <w:color w:val="000000" w:themeColor="text1"/>
          <w:kern w:val="0"/>
          <w:sz w:val="32"/>
          <w:szCs w:val="32"/>
          <w14:textFill>
            <w14:solidFill>
              <w14:schemeClr w14:val="tx1"/>
            </w14:solidFill>
          </w14:textFill>
        </w:rPr>
        <w:t>80%</w:t>
      </w:r>
      <w:r>
        <w:rPr>
          <w:rFonts w:hint="eastAsia" w:ascii="仿宋" w:hAnsi="仿宋" w:eastAsia="仿宋"/>
          <w:bCs/>
          <w:color w:val="000000" w:themeColor="text1"/>
          <w:kern w:val="0"/>
          <w:sz w:val="32"/>
          <w:szCs w:val="32"/>
          <w14:textFill>
            <w14:solidFill>
              <w14:schemeClr w14:val="tx1"/>
            </w14:solidFill>
          </w14:textFill>
        </w:rPr>
        <w:t>的新原料。</w:t>
      </w:r>
    </w:p>
    <w:p>
      <w:pPr>
        <w:adjustRightInd w:val="0"/>
        <w:snapToGrid w:val="0"/>
        <w:spacing w:line="360" w:lineRule="auto"/>
        <w:ind w:firstLine="643" w:firstLineChars="200"/>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（五）非单一组分新原料</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非单一组分新原料是指除单一组分新原料以外的其他新原料（如多聚物、植物提取物、发酵产物、水解产物等）。</w:t>
      </w:r>
    </w:p>
    <w:p>
      <w:pPr>
        <w:adjustRightInd w:val="0"/>
        <w:snapToGrid w:val="0"/>
        <w:spacing w:line="360" w:lineRule="auto"/>
        <w:ind w:firstLine="643" w:firstLineChars="200"/>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（六）风险物质</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风险物质是指新原料本身可能含有的对人体健康有安全风险的成分，或在其</w:t>
      </w:r>
      <w:r>
        <w:rPr>
          <w:rFonts w:ascii="仿宋" w:hAnsi="仿宋" w:eastAsia="仿宋"/>
          <w:bCs/>
          <w:color w:val="000000" w:themeColor="text1"/>
          <w:kern w:val="0"/>
          <w:sz w:val="32"/>
          <w:szCs w:val="32"/>
          <w14:textFill>
            <w14:solidFill>
              <w14:schemeClr w14:val="tx1"/>
            </w14:solidFill>
          </w14:textFill>
        </w:rPr>
        <w:t>生产</w:t>
      </w:r>
      <w:r>
        <w:rPr>
          <w:rFonts w:hint="eastAsia" w:ascii="仿宋" w:hAnsi="仿宋" w:eastAsia="仿宋"/>
          <w:bCs/>
          <w:color w:val="000000" w:themeColor="text1"/>
          <w:kern w:val="0"/>
          <w:sz w:val="32"/>
          <w:szCs w:val="32"/>
          <w14:textFill>
            <w14:solidFill>
              <w14:schemeClr w14:val="tx1"/>
            </w14:solidFill>
          </w14:textFill>
        </w:rPr>
        <w:t>或制备、</w:t>
      </w:r>
      <w:r>
        <w:rPr>
          <w:rFonts w:ascii="仿宋" w:hAnsi="仿宋" w:eastAsia="仿宋"/>
          <w:bCs/>
          <w:color w:val="000000" w:themeColor="text1"/>
          <w:kern w:val="0"/>
          <w:sz w:val="32"/>
          <w:szCs w:val="32"/>
          <w14:textFill>
            <w14:solidFill>
              <w14:schemeClr w14:val="tx1"/>
            </w14:solidFill>
          </w14:textFill>
        </w:rPr>
        <w:t>包装、</w:t>
      </w:r>
      <w:r>
        <w:rPr>
          <w:rFonts w:hint="eastAsia" w:ascii="仿宋" w:hAnsi="仿宋" w:eastAsia="仿宋"/>
          <w:bCs/>
          <w:color w:val="000000" w:themeColor="text1"/>
          <w:kern w:val="0"/>
          <w:sz w:val="32"/>
          <w:szCs w:val="32"/>
          <w14:textFill>
            <w14:solidFill>
              <w14:schemeClr w14:val="tx1"/>
            </w14:solidFill>
          </w14:textFill>
        </w:rPr>
        <w:t>贮存、运输等</w:t>
      </w:r>
      <w:r>
        <w:rPr>
          <w:rFonts w:ascii="仿宋" w:hAnsi="仿宋" w:eastAsia="仿宋"/>
          <w:bCs/>
          <w:color w:val="000000" w:themeColor="text1"/>
          <w:kern w:val="0"/>
          <w:sz w:val="32"/>
          <w:szCs w:val="32"/>
          <w14:textFill>
            <w14:solidFill>
              <w14:schemeClr w14:val="tx1"/>
            </w14:solidFill>
          </w14:textFill>
        </w:rPr>
        <w:t>过程中可能</w:t>
      </w:r>
      <w:r>
        <w:rPr>
          <w:rFonts w:hint="eastAsia" w:ascii="仿宋" w:hAnsi="仿宋" w:eastAsia="仿宋"/>
          <w:bCs/>
          <w:color w:val="000000" w:themeColor="text1"/>
          <w:kern w:val="0"/>
          <w:sz w:val="32"/>
          <w:szCs w:val="32"/>
          <w14:textFill>
            <w14:solidFill>
              <w14:schemeClr w14:val="tx1"/>
            </w14:solidFill>
          </w14:textFill>
        </w:rPr>
        <w:t>带入的外部污染物（如</w:t>
      </w:r>
      <w:r>
        <w:rPr>
          <w:rFonts w:ascii="仿宋" w:hAnsi="仿宋" w:eastAsia="仿宋"/>
          <w:bCs/>
          <w:color w:val="000000" w:themeColor="text1"/>
          <w:kern w:val="0"/>
          <w:sz w:val="32"/>
          <w:szCs w:val="32"/>
          <w14:textFill>
            <w14:solidFill>
              <w14:schemeClr w14:val="tx1"/>
            </w14:solidFill>
          </w14:textFill>
        </w:rPr>
        <w:t>重金属</w:t>
      </w:r>
      <w:r>
        <w:rPr>
          <w:rFonts w:hint="eastAsia" w:ascii="仿宋" w:hAnsi="仿宋" w:eastAsia="仿宋"/>
          <w:bCs/>
          <w:color w:val="000000" w:themeColor="text1"/>
          <w:kern w:val="0"/>
          <w:sz w:val="32"/>
          <w:szCs w:val="32"/>
          <w14:textFill>
            <w14:solidFill>
              <w14:schemeClr w14:val="tx1"/>
            </w14:solidFill>
          </w14:textFill>
        </w:rPr>
        <w:t>、有害溶剂/有害杂质等</w:t>
      </w:r>
      <w:r>
        <w:rPr>
          <w:rFonts w:ascii="仿宋" w:hAnsi="仿宋" w:eastAsia="仿宋"/>
          <w:bCs/>
          <w:color w:val="000000" w:themeColor="text1"/>
          <w:kern w:val="0"/>
          <w:sz w:val="32"/>
          <w:szCs w:val="32"/>
          <w14:textFill>
            <w14:solidFill>
              <w14:schemeClr w14:val="tx1"/>
            </w14:solidFill>
          </w14:textFill>
        </w:rPr>
        <w:t>有害物质</w:t>
      </w:r>
      <w:r>
        <w:rPr>
          <w:rFonts w:hint="eastAsia" w:ascii="仿宋" w:hAnsi="仿宋" w:eastAsia="仿宋"/>
          <w:bCs/>
          <w:color w:val="000000" w:themeColor="text1"/>
          <w:kern w:val="0"/>
          <w:sz w:val="32"/>
          <w:szCs w:val="32"/>
          <w14:textFill>
            <w14:solidFill>
              <w14:schemeClr w14:val="tx1"/>
            </w14:solidFill>
          </w14:textFill>
        </w:rPr>
        <w:t>、化妆品禁用物质</w:t>
      </w:r>
      <w:r>
        <w:rPr>
          <w:rFonts w:ascii="仿宋" w:hAnsi="仿宋" w:eastAsia="仿宋"/>
          <w:bCs/>
          <w:color w:val="000000" w:themeColor="text1"/>
          <w:kern w:val="0"/>
          <w:sz w:val="32"/>
          <w:szCs w:val="32"/>
          <w14:textFill>
            <w14:solidFill>
              <w14:schemeClr w14:val="tx1"/>
            </w14:solidFill>
          </w14:textFill>
        </w:rPr>
        <w:t>等</w:t>
      </w:r>
      <w:r>
        <w:rPr>
          <w:rFonts w:hint="eastAsia" w:ascii="仿宋" w:hAnsi="仿宋" w:eastAsia="仿宋"/>
          <w:bCs/>
          <w:color w:val="000000" w:themeColor="text1"/>
          <w:kern w:val="0"/>
          <w:sz w:val="32"/>
          <w:szCs w:val="32"/>
          <w14:textFill>
            <w14:solidFill>
              <w14:schemeClr w14:val="tx1"/>
            </w14:solidFill>
          </w14:textFill>
        </w:rPr>
        <w:t>）。</w:t>
      </w:r>
    </w:p>
    <w:p>
      <w:pPr>
        <w:adjustRightInd w:val="0"/>
        <w:snapToGrid w:val="0"/>
        <w:spacing w:line="360" w:lineRule="auto"/>
        <w:ind w:firstLine="643" w:firstLineChars="200"/>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（七）具有较高生物活性的</w:t>
      </w:r>
      <w:r>
        <w:rPr>
          <w:rFonts w:hint="eastAsia" w:eastAsia="仿宋_GB2312"/>
          <w:b/>
          <w:sz w:val="32"/>
          <w:szCs w:val="32"/>
        </w:rPr>
        <w:t>原料</w:t>
      </w:r>
    </w:p>
    <w:p>
      <w:pPr>
        <w:adjustRightInd w:val="0"/>
        <w:snapToGrid w:val="0"/>
        <w:spacing w:line="360" w:lineRule="auto"/>
        <w:ind w:firstLine="640" w:firstLineChars="200"/>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具有较高生物活性的原料是</w:t>
      </w:r>
      <w:r>
        <w:rPr>
          <w:rFonts w:eastAsia="仿宋_GB2312"/>
          <w:sz w:val="32"/>
          <w:szCs w:val="32"/>
        </w:rPr>
        <w:t>指在极低浓度下</w:t>
      </w:r>
      <w:r>
        <w:rPr>
          <w:rFonts w:ascii="仿宋" w:hAnsi="仿宋" w:eastAsia="仿宋"/>
          <w:bCs/>
          <w:color w:val="000000" w:themeColor="text1"/>
          <w:kern w:val="0"/>
          <w:sz w:val="32"/>
          <w:szCs w:val="32"/>
          <w14:textFill>
            <w14:solidFill>
              <w14:schemeClr w14:val="tx1"/>
            </w14:solidFill>
          </w14:textFill>
        </w:rPr>
        <w:t>对</w:t>
      </w:r>
      <w:r>
        <w:rPr>
          <w:rFonts w:hint="eastAsia" w:ascii="仿宋" w:hAnsi="仿宋" w:eastAsia="仿宋"/>
          <w:bCs/>
          <w:color w:val="000000" w:themeColor="text1"/>
          <w:kern w:val="0"/>
          <w:sz w:val="32"/>
          <w:szCs w:val="32"/>
          <w14:textFill>
            <w14:solidFill>
              <w14:schemeClr w14:val="tx1"/>
            </w14:solidFill>
          </w14:textFill>
        </w:rPr>
        <w:t>人体具有显著的生物效用</w:t>
      </w:r>
      <w:r>
        <w:rPr>
          <w:rFonts w:eastAsia="仿宋_GB2312"/>
          <w:sz w:val="32"/>
          <w:szCs w:val="32"/>
        </w:rPr>
        <w:t>；或者</w:t>
      </w:r>
      <w:r>
        <w:rPr>
          <w:rFonts w:ascii="仿宋" w:hAnsi="仿宋" w:eastAsia="仿宋"/>
          <w:bCs/>
          <w:color w:val="000000" w:themeColor="text1"/>
          <w:kern w:val="0"/>
          <w:sz w:val="32"/>
          <w:szCs w:val="32"/>
          <w14:textFill>
            <w14:solidFill>
              <w14:schemeClr w14:val="tx1"/>
            </w14:solidFill>
          </w14:textFill>
        </w:rPr>
        <w:t>在</w:t>
      </w:r>
      <w:r>
        <w:rPr>
          <w:rFonts w:hint="eastAsia" w:ascii="仿宋" w:hAnsi="仿宋" w:eastAsia="仿宋"/>
          <w:bCs/>
          <w:color w:val="000000" w:themeColor="text1"/>
          <w:kern w:val="0"/>
          <w:sz w:val="32"/>
          <w:szCs w:val="32"/>
          <w14:textFill>
            <w14:solidFill>
              <w14:schemeClr w14:val="tx1"/>
            </w14:solidFill>
          </w14:textFill>
        </w:rPr>
        <w:t>相同的</w:t>
      </w:r>
      <w:r>
        <w:rPr>
          <w:rFonts w:ascii="仿宋" w:hAnsi="仿宋" w:eastAsia="仿宋"/>
          <w:bCs/>
          <w:color w:val="000000" w:themeColor="text1"/>
          <w:kern w:val="0"/>
          <w:sz w:val="32"/>
          <w:szCs w:val="32"/>
          <w14:textFill>
            <w14:solidFill>
              <w14:schemeClr w14:val="tx1"/>
            </w14:solidFill>
          </w14:textFill>
        </w:rPr>
        <w:t>使用浓度和</w:t>
      </w:r>
      <w:r>
        <w:rPr>
          <w:rFonts w:hint="eastAsia" w:ascii="仿宋" w:hAnsi="仿宋" w:eastAsia="仿宋"/>
          <w:bCs/>
          <w:color w:val="000000" w:themeColor="text1"/>
          <w:kern w:val="0"/>
          <w:sz w:val="32"/>
          <w:szCs w:val="32"/>
          <w14:textFill>
            <w14:solidFill>
              <w14:schemeClr w14:val="tx1"/>
            </w14:solidFill>
          </w14:textFill>
        </w:rPr>
        <w:t>使用条件下，</w:t>
      </w:r>
      <w:r>
        <w:rPr>
          <w:rFonts w:ascii="仿宋" w:hAnsi="仿宋" w:eastAsia="仿宋"/>
          <w:bCs/>
          <w:color w:val="000000" w:themeColor="text1"/>
          <w:kern w:val="0"/>
          <w:sz w:val="32"/>
          <w:szCs w:val="32"/>
          <w14:textFill>
            <w14:solidFill>
              <w14:schemeClr w14:val="tx1"/>
            </w14:solidFill>
          </w14:textFill>
        </w:rPr>
        <w:t>对</w:t>
      </w:r>
      <w:r>
        <w:rPr>
          <w:rFonts w:hint="eastAsia" w:ascii="仿宋" w:hAnsi="仿宋" w:eastAsia="仿宋"/>
          <w:bCs/>
          <w:color w:val="000000" w:themeColor="text1"/>
          <w:kern w:val="0"/>
          <w:sz w:val="32"/>
          <w:szCs w:val="32"/>
          <w14:textFill>
            <w14:solidFill>
              <w14:schemeClr w14:val="tx1"/>
            </w14:solidFill>
          </w14:textFill>
        </w:rPr>
        <w:t>人体具有的生物效用显著高于其类似物质</w:t>
      </w:r>
      <w:r>
        <w:rPr>
          <w:rFonts w:hint="eastAsia" w:ascii="仿宋" w:hAnsi="仿宋" w:eastAsia="仿宋"/>
          <w:bCs/>
          <w:color w:val="000000" w:themeColor="text1"/>
          <w:kern w:val="0"/>
          <w:sz w:val="32"/>
          <w:szCs w:val="32"/>
          <w:lang w:eastAsia="zh-CN"/>
          <w14:textFill>
            <w14:solidFill>
              <w14:schemeClr w14:val="tx1"/>
            </w14:solidFill>
          </w14:textFill>
        </w:rPr>
        <w:t>，如某些寡肽、多肽、蛋白质类原料。</w:t>
      </w:r>
    </w:p>
    <w:p>
      <w:pPr>
        <w:adjustRightInd w:val="0"/>
        <w:snapToGrid w:val="0"/>
        <w:spacing w:line="360" w:lineRule="auto"/>
        <w:rPr>
          <w:rFonts w:ascii="仿宋" w:hAnsi="仿宋" w:eastAsia="仿宋"/>
          <w:bCs/>
          <w:color w:val="000000" w:themeColor="text1"/>
          <w:kern w:val="0"/>
          <w:sz w:val="32"/>
          <w:szCs w:val="32"/>
          <w14:textFill>
            <w14:solidFill>
              <w14:schemeClr w14:val="tx1"/>
            </w14:solidFill>
          </w14:textFill>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540232"/>
    </w:sdtPr>
    <w:sdtContent>
      <w:p>
        <w:pPr>
          <w:pStyle w:val="6"/>
          <w:jc w:val="center"/>
        </w:pPr>
      </w:p>
    </w:sdtContent>
  </w:sdt>
  <w:p>
    <w:pPr>
      <w:pStyle w:val="6"/>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0540232"/>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60540232"/>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6"/>
      <w:tabs>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500CB"/>
    <w:multiLevelType w:val="singleLevel"/>
    <w:tmpl w:val="D6E500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TI5NGRiODJkYTlmNWEyNWRkYTZmM2E0MTVjNDkifQ=="/>
  </w:docVars>
  <w:rsids>
    <w:rsidRoot w:val="253D214F"/>
    <w:rsid w:val="00004381"/>
    <w:rsid w:val="0001132E"/>
    <w:rsid w:val="000121B2"/>
    <w:rsid w:val="00022EAA"/>
    <w:rsid w:val="00023A0A"/>
    <w:rsid w:val="000312ED"/>
    <w:rsid w:val="00050D3E"/>
    <w:rsid w:val="00050EA1"/>
    <w:rsid w:val="00061AE5"/>
    <w:rsid w:val="00061D42"/>
    <w:rsid w:val="000744F8"/>
    <w:rsid w:val="0008254E"/>
    <w:rsid w:val="00083401"/>
    <w:rsid w:val="0008744C"/>
    <w:rsid w:val="000923BB"/>
    <w:rsid w:val="00095307"/>
    <w:rsid w:val="000B0B33"/>
    <w:rsid w:val="000D0E75"/>
    <w:rsid w:val="0012223C"/>
    <w:rsid w:val="001317E0"/>
    <w:rsid w:val="00131F7C"/>
    <w:rsid w:val="00135FB2"/>
    <w:rsid w:val="00140747"/>
    <w:rsid w:val="00144D4B"/>
    <w:rsid w:val="0015533B"/>
    <w:rsid w:val="001619B9"/>
    <w:rsid w:val="00161A10"/>
    <w:rsid w:val="001713A7"/>
    <w:rsid w:val="00172B62"/>
    <w:rsid w:val="00181930"/>
    <w:rsid w:val="001855BB"/>
    <w:rsid w:val="001865A2"/>
    <w:rsid w:val="001872B8"/>
    <w:rsid w:val="00196980"/>
    <w:rsid w:val="001A3153"/>
    <w:rsid w:val="001A3ABF"/>
    <w:rsid w:val="001B1F50"/>
    <w:rsid w:val="001B2717"/>
    <w:rsid w:val="001B5FCA"/>
    <w:rsid w:val="001D16B0"/>
    <w:rsid w:val="001F13FA"/>
    <w:rsid w:val="001F7D37"/>
    <w:rsid w:val="0021682D"/>
    <w:rsid w:val="00222CC0"/>
    <w:rsid w:val="00236AFA"/>
    <w:rsid w:val="00247876"/>
    <w:rsid w:val="002557A3"/>
    <w:rsid w:val="00276721"/>
    <w:rsid w:val="002814DB"/>
    <w:rsid w:val="002828F7"/>
    <w:rsid w:val="00286FDC"/>
    <w:rsid w:val="002918EF"/>
    <w:rsid w:val="002B0871"/>
    <w:rsid w:val="002B26D3"/>
    <w:rsid w:val="002B306F"/>
    <w:rsid w:val="002B3581"/>
    <w:rsid w:val="002D0B8D"/>
    <w:rsid w:val="002D6699"/>
    <w:rsid w:val="002F2633"/>
    <w:rsid w:val="0031261D"/>
    <w:rsid w:val="003154AA"/>
    <w:rsid w:val="00316013"/>
    <w:rsid w:val="003204CE"/>
    <w:rsid w:val="00327789"/>
    <w:rsid w:val="00333A25"/>
    <w:rsid w:val="00347BD1"/>
    <w:rsid w:val="0036630A"/>
    <w:rsid w:val="003850E2"/>
    <w:rsid w:val="003902FF"/>
    <w:rsid w:val="003950C2"/>
    <w:rsid w:val="003970CC"/>
    <w:rsid w:val="00397C0B"/>
    <w:rsid w:val="003A2317"/>
    <w:rsid w:val="003A61F2"/>
    <w:rsid w:val="003C1E19"/>
    <w:rsid w:val="003C2973"/>
    <w:rsid w:val="003D261C"/>
    <w:rsid w:val="003D4E35"/>
    <w:rsid w:val="003F179B"/>
    <w:rsid w:val="003F36FD"/>
    <w:rsid w:val="003F3993"/>
    <w:rsid w:val="003F49CE"/>
    <w:rsid w:val="0042065A"/>
    <w:rsid w:val="0043663B"/>
    <w:rsid w:val="0044154B"/>
    <w:rsid w:val="0045436C"/>
    <w:rsid w:val="00455A9B"/>
    <w:rsid w:val="0046434A"/>
    <w:rsid w:val="00464D45"/>
    <w:rsid w:val="00477632"/>
    <w:rsid w:val="004824D8"/>
    <w:rsid w:val="004A325C"/>
    <w:rsid w:val="004A44E5"/>
    <w:rsid w:val="004B0018"/>
    <w:rsid w:val="004B052A"/>
    <w:rsid w:val="004B7925"/>
    <w:rsid w:val="004C0AF7"/>
    <w:rsid w:val="004D14E7"/>
    <w:rsid w:val="004E5E3A"/>
    <w:rsid w:val="0050464E"/>
    <w:rsid w:val="0053027A"/>
    <w:rsid w:val="00531774"/>
    <w:rsid w:val="00531F08"/>
    <w:rsid w:val="00546A37"/>
    <w:rsid w:val="005526E8"/>
    <w:rsid w:val="00554B4B"/>
    <w:rsid w:val="00580B55"/>
    <w:rsid w:val="005814C2"/>
    <w:rsid w:val="00586373"/>
    <w:rsid w:val="00591A0D"/>
    <w:rsid w:val="005A3AF3"/>
    <w:rsid w:val="005A41B1"/>
    <w:rsid w:val="005C6CAC"/>
    <w:rsid w:val="005C720C"/>
    <w:rsid w:val="005D190A"/>
    <w:rsid w:val="005D2202"/>
    <w:rsid w:val="005E2924"/>
    <w:rsid w:val="005E685C"/>
    <w:rsid w:val="005F2E17"/>
    <w:rsid w:val="005F6544"/>
    <w:rsid w:val="0060630F"/>
    <w:rsid w:val="00607FEA"/>
    <w:rsid w:val="006233D8"/>
    <w:rsid w:val="00634B21"/>
    <w:rsid w:val="00635EFD"/>
    <w:rsid w:val="0065453F"/>
    <w:rsid w:val="00662959"/>
    <w:rsid w:val="00681BAB"/>
    <w:rsid w:val="00681CE3"/>
    <w:rsid w:val="006843E4"/>
    <w:rsid w:val="006861B3"/>
    <w:rsid w:val="006B62CB"/>
    <w:rsid w:val="006D4E9E"/>
    <w:rsid w:val="00704AC9"/>
    <w:rsid w:val="00707E36"/>
    <w:rsid w:val="00715E73"/>
    <w:rsid w:val="007212B3"/>
    <w:rsid w:val="00740130"/>
    <w:rsid w:val="00744E7A"/>
    <w:rsid w:val="007710A7"/>
    <w:rsid w:val="007744F7"/>
    <w:rsid w:val="00791206"/>
    <w:rsid w:val="0079259B"/>
    <w:rsid w:val="0079789B"/>
    <w:rsid w:val="007B30BD"/>
    <w:rsid w:val="007B3310"/>
    <w:rsid w:val="007C0F83"/>
    <w:rsid w:val="007F4A6A"/>
    <w:rsid w:val="007F5164"/>
    <w:rsid w:val="00800C1C"/>
    <w:rsid w:val="0080565A"/>
    <w:rsid w:val="008076BE"/>
    <w:rsid w:val="00811511"/>
    <w:rsid w:val="00813DE1"/>
    <w:rsid w:val="008140B4"/>
    <w:rsid w:val="008154FD"/>
    <w:rsid w:val="00821EAF"/>
    <w:rsid w:val="008249AE"/>
    <w:rsid w:val="00824F17"/>
    <w:rsid w:val="008302D8"/>
    <w:rsid w:val="00836D59"/>
    <w:rsid w:val="00845903"/>
    <w:rsid w:val="00854772"/>
    <w:rsid w:val="008646EC"/>
    <w:rsid w:val="00872E6D"/>
    <w:rsid w:val="00877F2B"/>
    <w:rsid w:val="00893DB8"/>
    <w:rsid w:val="008A3995"/>
    <w:rsid w:val="008A4A5F"/>
    <w:rsid w:val="008B3999"/>
    <w:rsid w:val="008B6CD3"/>
    <w:rsid w:val="008C08F1"/>
    <w:rsid w:val="008C63A8"/>
    <w:rsid w:val="008C76F3"/>
    <w:rsid w:val="008D1EA9"/>
    <w:rsid w:val="008D2A3A"/>
    <w:rsid w:val="008E23DC"/>
    <w:rsid w:val="008F36EC"/>
    <w:rsid w:val="00915491"/>
    <w:rsid w:val="00922B7E"/>
    <w:rsid w:val="00922BB3"/>
    <w:rsid w:val="009235C1"/>
    <w:rsid w:val="00927BFD"/>
    <w:rsid w:val="0093032D"/>
    <w:rsid w:val="00967C9D"/>
    <w:rsid w:val="00984D32"/>
    <w:rsid w:val="009976CD"/>
    <w:rsid w:val="009A4F22"/>
    <w:rsid w:val="009B1609"/>
    <w:rsid w:val="009B5E48"/>
    <w:rsid w:val="009C0D1B"/>
    <w:rsid w:val="009D278C"/>
    <w:rsid w:val="009D5D48"/>
    <w:rsid w:val="009D6C30"/>
    <w:rsid w:val="009E45F3"/>
    <w:rsid w:val="009E4A8B"/>
    <w:rsid w:val="009F265C"/>
    <w:rsid w:val="00A01DF4"/>
    <w:rsid w:val="00A04428"/>
    <w:rsid w:val="00A05336"/>
    <w:rsid w:val="00A140CF"/>
    <w:rsid w:val="00A173C1"/>
    <w:rsid w:val="00A53237"/>
    <w:rsid w:val="00A72835"/>
    <w:rsid w:val="00A80EEE"/>
    <w:rsid w:val="00A82EF4"/>
    <w:rsid w:val="00A83951"/>
    <w:rsid w:val="00AA7302"/>
    <w:rsid w:val="00AB7F81"/>
    <w:rsid w:val="00AD04E9"/>
    <w:rsid w:val="00AD5A16"/>
    <w:rsid w:val="00AE432B"/>
    <w:rsid w:val="00AE4C0C"/>
    <w:rsid w:val="00AF0B00"/>
    <w:rsid w:val="00AF6C3E"/>
    <w:rsid w:val="00AF6FEF"/>
    <w:rsid w:val="00B015B7"/>
    <w:rsid w:val="00B051D7"/>
    <w:rsid w:val="00B05929"/>
    <w:rsid w:val="00B30D94"/>
    <w:rsid w:val="00B32685"/>
    <w:rsid w:val="00B33986"/>
    <w:rsid w:val="00B37360"/>
    <w:rsid w:val="00B51985"/>
    <w:rsid w:val="00B55B5D"/>
    <w:rsid w:val="00B72916"/>
    <w:rsid w:val="00B8473F"/>
    <w:rsid w:val="00B857AA"/>
    <w:rsid w:val="00B9386C"/>
    <w:rsid w:val="00BC0626"/>
    <w:rsid w:val="00BC74E2"/>
    <w:rsid w:val="00BD6C2A"/>
    <w:rsid w:val="00BE3212"/>
    <w:rsid w:val="00BF2B1B"/>
    <w:rsid w:val="00C006A6"/>
    <w:rsid w:val="00C04077"/>
    <w:rsid w:val="00C0476A"/>
    <w:rsid w:val="00C04E12"/>
    <w:rsid w:val="00C072ED"/>
    <w:rsid w:val="00C239A3"/>
    <w:rsid w:val="00C264E8"/>
    <w:rsid w:val="00C33B40"/>
    <w:rsid w:val="00C40972"/>
    <w:rsid w:val="00C44A60"/>
    <w:rsid w:val="00C4676D"/>
    <w:rsid w:val="00C50326"/>
    <w:rsid w:val="00C5780F"/>
    <w:rsid w:val="00C66EE0"/>
    <w:rsid w:val="00C67D10"/>
    <w:rsid w:val="00C75847"/>
    <w:rsid w:val="00C90347"/>
    <w:rsid w:val="00C90D12"/>
    <w:rsid w:val="00C93BCA"/>
    <w:rsid w:val="00CA54B7"/>
    <w:rsid w:val="00CB1484"/>
    <w:rsid w:val="00CC0D40"/>
    <w:rsid w:val="00CD153B"/>
    <w:rsid w:val="00CD3E51"/>
    <w:rsid w:val="00CD78E4"/>
    <w:rsid w:val="00CE19E1"/>
    <w:rsid w:val="00CE2F70"/>
    <w:rsid w:val="00CE54CD"/>
    <w:rsid w:val="00CF49CC"/>
    <w:rsid w:val="00CF6F14"/>
    <w:rsid w:val="00D05E9C"/>
    <w:rsid w:val="00D358EE"/>
    <w:rsid w:val="00D35BEE"/>
    <w:rsid w:val="00D37A4E"/>
    <w:rsid w:val="00D41AFF"/>
    <w:rsid w:val="00D5601E"/>
    <w:rsid w:val="00D65B76"/>
    <w:rsid w:val="00D67965"/>
    <w:rsid w:val="00D77562"/>
    <w:rsid w:val="00DA3B8B"/>
    <w:rsid w:val="00DB02B3"/>
    <w:rsid w:val="00DC0BAE"/>
    <w:rsid w:val="00DC4688"/>
    <w:rsid w:val="00DC4FF1"/>
    <w:rsid w:val="00DF2B4C"/>
    <w:rsid w:val="00DF4AC8"/>
    <w:rsid w:val="00E0690D"/>
    <w:rsid w:val="00E0772C"/>
    <w:rsid w:val="00E14CC6"/>
    <w:rsid w:val="00E239C9"/>
    <w:rsid w:val="00E30FA6"/>
    <w:rsid w:val="00E346DA"/>
    <w:rsid w:val="00E34D77"/>
    <w:rsid w:val="00E42CA2"/>
    <w:rsid w:val="00E44273"/>
    <w:rsid w:val="00E57F4F"/>
    <w:rsid w:val="00E634A0"/>
    <w:rsid w:val="00E664AF"/>
    <w:rsid w:val="00E7018E"/>
    <w:rsid w:val="00E70333"/>
    <w:rsid w:val="00E72735"/>
    <w:rsid w:val="00E8049E"/>
    <w:rsid w:val="00E93D30"/>
    <w:rsid w:val="00EA33D5"/>
    <w:rsid w:val="00EB031C"/>
    <w:rsid w:val="00EB1C19"/>
    <w:rsid w:val="00EC5A93"/>
    <w:rsid w:val="00EC770C"/>
    <w:rsid w:val="00EE4790"/>
    <w:rsid w:val="00EE5DF2"/>
    <w:rsid w:val="00EF111C"/>
    <w:rsid w:val="00EF265D"/>
    <w:rsid w:val="00EF2C34"/>
    <w:rsid w:val="00F12536"/>
    <w:rsid w:val="00F25A50"/>
    <w:rsid w:val="00F25E91"/>
    <w:rsid w:val="00F269F4"/>
    <w:rsid w:val="00F34375"/>
    <w:rsid w:val="00F91F28"/>
    <w:rsid w:val="00F926D1"/>
    <w:rsid w:val="00FA383D"/>
    <w:rsid w:val="00FA52C8"/>
    <w:rsid w:val="00FB0DBD"/>
    <w:rsid w:val="00FF5A9F"/>
    <w:rsid w:val="00FF7C28"/>
    <w:rsid w:val="012375FA"/>
    <w:rsid w:val="01634FFA"/>
    <w:rsid w:val="02636668"/>
    <w:rsid w:val="02677161"/>
    <w:rsid w:val="029A1B3E"/>
    <w:rsid w:val="0500350D"/>
    <w:rsid w:val="059C2407"/>
    <w:rsid w:val="076B015F"/>
    <w:rsid w:val="08FB5646"/>
    <w:rsid w:val="09390286"/>
    <w:rsid w:val="0F2F0FF6"/>
    <w:rsid w:val="0F651743"/>
    <w:rsid w:val="146E4BD8"/>
    <w:rsid w:val="15254FBD"/>
    <w:rsid w:val="17002D2F"/>
    <w:rsid w:val="176C6E9F"/>
    <w:rsid w:val="19420009"/>
    <w:rsid w:val="194B5299"/>
    <w:rsid w:val="1A9624D6"/>
    <w:rsid w:val="1E4F6B71"/>
    <w:rsid w:val="1FEE6E16"/>
    <w:rsid w:val="216307C9"/>
    <w:rsid w:val="22A856FD"/>
    <w:rsid w:val="24C71020"/>
    <w:rsid w:val="253D214F"/>
    <w:rsid w:val="25695674"/>
    <w:rsid w:val="290446A3"/>
    <w:rsid w:val="291C7AD4"/>
    <w:rsid w:val="29EC0A18"/>
    <w:rsid w:val="2E8944E5"/>
    <w:rsid w:val="30501542"/>
    <w:rsid w:val="31002D26"/>
    <w:rsid w:val="32DB586A"/>
    <w:rsid w:val="32ED1FBE"/>
    <w:rsid w:val="34016A2C"/>
    <w:rsid w:val="35E94FF5"/>
    <w:rsid w:val="36771661"/>
    <w:rsid w:val="37A20ECA"/>
    <w:rsid w:val="3B253993"/>
    <w:rsid w:val="3BC42804"/>
    <w:rsid w:val="3C236125"/>
    <w:rsid w:val="3CF3200B"/>
    <w:rsid w:val="3D7061D4"/>
    <w:rsid w:val="3D8D7D95"/>
    <w:rsid w:val="3E69015E"/>
    <w:rsid w:val="44380296"/>
    <w:rsid w:val="45931966"/>
    <w:rsid w:val="474D04FA"/>
    <w:rsid w:val="482812C3"/>
    <w:rsid w:val="49C13C74"/>
    <w:rsid w:val="4B91324C"/>
    <w:rsid w:val="4F47559E"/>
    <w:rsid w:val="51A72CA3"/>
    <w:rsid w:val="55482DF5"/>
    <w:rsid w:val="57511940"/>
    <w:rsid w:val="58B56988"/>
    <w:rsid w:val="59401C6C"/>
    <w:rsid w:val="5A93401E"/>
    <w:rsid w:val="5EA26F25"/>
    <w:rsid w:val="5FCD4F6B"/>
    <w:rsid w:val="63BD2630"/>
    <w:rsid w:val="640A67E1"/>
    <w:rsid w:val="648F5014"/>
    <w:rsid w:val="652D7730"/>
    <w:rsid w:val="66727E9C"/>
    <w:rsid w:val="66946028"/>
    <w:rsid w:val="66EE6AA6"/>
    <w:rsid w:val="67D346C9"/>
    <w:rsid w:val="695310D7"/>
    <w:rsid w:val="6A372C18"/>
    <w:rsid w:val="715F1732"/>
    <w:rsid w:val="719C5A56"/>
    <w:rsid w:val="72F818CA"/>
    <w:rsid w:val="736B376C"/>
    <w:rsid w:val="73FFA457"/>
    <w:rsid w:val="75800144"/>
    <w:rsid w:val="79DA34FB"/>
    <w:rsid w:val="7EFE2240"/>
    <w:rsid w:val="D1AFD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eastAsia="仿宋" w:asciiTheme="majorHAnsi" w:hAnsiTheme="majorHAnsi" w:cstheme="majorBidi"/>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qFormat/>
    <w:uiPriority w:val="0"/>
    <w:pPr>
      <w:spacing w:after="120"/>
      <w:ind w:left="420" w:leftChars="200"/>
    </w:pPr>
  </w:style>
  <w:style w:type="paragraph" w:styleId="5">
    <w:name w:val="Balloon Text"/>
    <w:basedOn w:val="1"/>
    <w:link w:val="20"/>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szCs w:val="22"/>
    </w:rPr>
  </w:style>
  <w:style w:type="paragraph" w:styleId="9">
    <w:name w:val="toc 2"/>
    <w:basedOn w:val="1"/>
    <w:next w:val="1"/>
    <w:qFormat/>
    <w:uiPriority w:val="39"/>
    <w:pPr>
      <w:ind w:left="420" w:leftChars="200"/>
    </w:pPr>
    <w:rPr>
      <w:szCs w:val="2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2"/>
    <w:basedOn w:val="4"/>
    <w:qFormat/>
    <w:uiPriority w:val="0"/>
    <w:pPr>
      <w:ind w:firstLine="420" w:firstLineChars="200"/>
    </w:pPr>
  </w:style>
  <w:style w:type="character" w:styleId="14">
    <w:name w:val="Hyperlink"/>
    <w:basedOn w:val="13"/>
    <w:unhideWhenUsed/>
    <w:qFormat/>
    <w:uiPriority w:val="99"/>
    <w:rPr>
      <w:color w:val="0026E5"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标题 2 Char"/>
    <w:basedOn w:val="13"/>
    <w:link w:val="2"/>
    <w:qFormat/>
    <w:uiPriority w:val="9"/>
    <w:rPr>
      <w:rFonts w:eastAsia="仿宋" w:asciiTheme="majorHAnsi" w:hAnsiTheme="majorHAnsi" w:cstheme="majorBidi"/>
      <w:bCs/>
      <w:sz w:val="32"/>
      <w:szCs w:val="32"/>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18">
    <w:name w:val="List Paragraph"/>
    <w:basedOn w:val="1"/>
    <w:qFormat/>
    <w:uiPriority w:val="34"/>
    <w:pPr>
      <w:ind w:firstLine="420" w:firstLineChars="200"/>
    </w:pPr>
  </w:style>
  <w:style w:type="paragraph" w:customStyle="1" w:styleId="19">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1">
    <w:name w:val="页脚 Char"/>
    <w:basedOn w:val="13"/>
    <w:link w:val="6"/>
    <w:qFormat/>
    <w:uiPriority w:val="99"/>
    <w:rPr>
      <w:rFonts w:asciiTheme="minorHAnsi" w:hAnsiTheme="minorHAnsi" w:eastAsiaTheme="minorEastAsia" w:cstheme="minorBidi"/>
      <w:kern w:val="2"/>
      <w:sz w:val="18"/>
      <w:szCs w:val="24"/>
    </w:rPr>
  </w:style>
  <w:style w:type="paragraph" w:customStyle="1" w:styleId="22">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4"/>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7489</Words>
  <Characters>1824</Characters>
  <Lines>15</Lines>
  <Paragraphs>18</Paragraphs>
  <TotalTime>6</TotalTime>
  <ScaleCrop>false</ScaleCrop>
  <LinksUpToDate>false</LinksUpToDate>
  <CharactersWithSpaces>9295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2023-08-14T01:26:00Z</dcterms:created>
  <dc:creator>陈旭</dc:creator>
  <cp:lastModifiedBy>WPS_1161219725</cp:lastModifiedBy>
  <dcterms:modified xsi:type="dcterms:W3CDTF">2023-12-01T05:46:26Z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A4DCE75E0B82436596340BAA70A06866_13</vt:lpwstr>
  </property>
</Properties>
</file>